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9D57C" w14:textId="77777777" w:rsidR="000225AE" w:rsidRDefault="000225AE" w:rsidP="004B70FD"/>
    <w:p w14:paraId="03D70FED" w14:textId="1B00AB1E" w:rsidR="004B70FD" w:rsidRDefault="004B70FD" w:rsidP="004B70FD">
      <w:r>
        <w:rPr>
          <w:noProof/>
          <w:lang w:val="en-US"/>
        </w:rPr>
        <mc:AlternateContent>
          <mc:Choice Requires="wps">
            <w:drawing>
              <wp:anchor distT="45720" distB="45720" distL="114300" distR="114300" simplePos="0" relativeHeight="251659264" behindDoc="0" locked="0" layoutInCell="1" allowOverlap="1" wp14:anchorId="4DAC83CD" wp14:editId="4069BA99">
                <wp:simplePos x="0" y="0"/>
                <wp:positionH relativeFrom="margin">
                  <wp:align>center</wp:align>
                </wp:positionH>
                <wp:positionV relativeFrom="paragraph">
                  <wp:posOffset>910615</wp:posOffset>
                </wp:positionV>
                <wp:extent cx="6348095" cy="140462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404620"/>
                        </a:xfrm>
                        <a:prstGeom prst="rect">
                          <a:avLst/>
                        </a:prstGeom>
                        <a:solidFill>
                          <a:srgbClr val="FFFFFF"/>
                        </a:solidFill>
                        <a:ln w="9525">
                          <a:solidFill>
                            <a:srgbClr val="000000"/>
                          </a:solidFill>
                          <a:miter lim="800000"/>
                          <a:headEnd/>
                          <a:tailEnd/>
                        </a:ln>
                      </wps:spPr>
                      <wps:txbx>
                        <w:txbxContent>
                          <w:p w14:paraId="7BCD66D4" w14:textId="604DE0A4" w:rsidR="004B70FD" w:rsidRPr="00CB553F" w:rsidRDefault="004B70FD" w:rsidP="004B70FD">
                            <w:pPr>
                              <w:pStyle w:val="Regulation2"/>
                            </w:pPr>
                            <w:r w:rsidRPr="00CB553F">
                              <w:t>BLOCK</w:t>
                            </w:r>
                          </w:p>
                          <w:p w14:paraId="11EEC343" w14:textId="77777777" w:rsidR="004B70FD" w:rsidRDefault="004B70FD" w:rsidP="004B70FD">
                            <w:pPr>
                              <w:pStyle w:val="Regulation3"/>
                              <w:ind w:left="1361" w:hanging="681"/>
                              <w:jc w:val="both"/>
                            </w:pPr>
                            <w:r>
                              <w:t>The block must have the same number of cylinders/rotors and the same configuration as was standard or available as a manufacturer’s option for that particular model (e.g. in line, horizontally opposed).</w:t>
                            </w:r>
                          </w:p>
                          <w:p w14:paraId="0FC598B7" w14:textId="77777777" w:rsidR="004B70FD" w:rsidRDefault="004B70FD" w:rsidP="004B70FD">
                            <w:pPr>
                              <w:pStyle w:val="Regulation3"/>
                              <w:ind w:left="1361" w:hanging="681"/>
                              <w:jc w:val="both"/>
                            </w:pPr>
                            <w:r>
                              <w:t>The block must be from the same manufacturer (e.g. Ford, GMH, and Nissan) as the original Automobile.</w:t>
                            </w:r>
                          </w:p>
                          <w:p w14:paraId="2A8060E0" w14:textId="77777777" w:rsidR="004B70FD" w:rsidRDefault="004B70FD" w:rsidP="004B70FD">
                            <w:pPr>
                              <w:pStyle w:val="Regulation3"/>
                              <w:ind w:left="1361" w:hanging="681"/>
                              <w:jc w:val="both"/>
                            </w:pPr>
                            <w:r>
                              <w:t>The cylinder block must either be:</w:t>
                            </w:r>
                          </w:p>
                          <w:p w14:paraId="1A11344A" w14:textId="77777777" w:rsidR="004B70FD" w:rsidRDefault="004B70FD" w:rsidP="004B70FD">
                            <w:pPr>
                              <w:pStyle w:val="Regulation4"/>
                              <w:jc w:val="both"/>
                            </w:pPr>
                            <w:r>
                              <w:t xml:space="preserve">derived from an eligible Automobile as detailed in Article 1.1; </w:t>
                            </w:r>
                            <w:r w:rsidRPr="00271310">
                              <w:t>or</w:t>
                            </w:r>
                          </w:p>
                          <w:p w14:paraId="210FB63A" w14:textId="77777777" w:rsidR="004B70FD" w:rsidRDefault="004B70FD" w:rsidP="004B70FD">
                            <w:pPr>
                              <w:pStyle w:val="Regulation4"/>
                              <w:jc w:val="both"/>
                            </w:pPr>
                            <w:r>
                              <w:t xml:space="preserve">derived from the same family of engines as an eligible Automobile using identical internal dimensions (with differences only in transmission mounting pattern, minor external casting differences etc.). The block type must be clearly identifiable, i.e. Nissan SR20DE, SR20DET, Holden Family II, Toyota 4AG series etc. </w:t>
                            </w:r>
                          </w:p>
                          <w:p w14:paraId="1F1FEE07" w14:textId="70410DB8" w:rsidR="006A2CC7" w:rsidRPr="006A2CC7" w:rsidRDefault="004B70FD" w:rsidP="004B70FD">
                            <w:pPr>
                              <w:pStyle w:val="Regulation3"/>
                              <w:rPr>
                                <w:rFonts w:cs="Arial"/>
                                <w:szCs w:val="18"/>
                                <w:lang w:eastAsia="en-AU" w:bidi="ar-SA"/>
                              </w:rPr>
                            </w:pPr>
                            <w:r w:rsidRPr="00CB6276">
                              <w:t xml:space="preserve">The </w:t>
                            </w:r>
                            <w:r w:rsidRPr="00CB6276">
                              <w:rPr>
                                <w:strike/>
                                <w:color w:val="FF0000"/>
                              </w:rPr>
                              <w:t>derived</w:t>
                            </w:r>
                            <w:r w:rsidRPr="00CB6276">
                              <w:t xml:space="preserve"> block must be identifiable as being from a mass-produced Automobile. </w:t>
                            </w:r>
                            <w:r w:rsidRPr="00CB6276">
                              <w:rPr>
                                <w:color w:val="00B0F0"/>
                              </w:rPr>
                              <w:t xml:space="preserve">It must </w:t>
                            </w:r>
                            <w:r w:rsidRPr="00CB6276">
                              <w:t>not have been exclusively developed for sporting evolution models or produced for homologation purposes in small numbers for competition use only</w:t>
                            </w:r>
                            <w:r w:rsidR="006A2CC7">
                              <w:t xml:space="preserve"> </w:t>
                            </w:r>
                            <w:r w:rsidR="006A2CC7" w:rsidRPr="006A2CC7">
                              <w:rPr>
                                <w:color w:val="00B0F0"/>
                              </w:rPr>
                              <w:t>or be an aftermarket replacement block, unless eligible in accordance with 4.2(e)</w:t>
                            </w:r>
                            <w:r w:rsidRPr="00CB6276">
                              <w:t>. Motorsport Australia will be the final arbiter in determining the eligibility of a block.</w:t>
                            </w:r>
                            <w:r>
                              <w:t xml:space="preserve"> </w:t>
                            </w:r>
                          </w:p>
                          <w:p w14:paraId="72CEA383" w14:textId="6D61B887" w:rsidR="004B70FD" w:rsidRPr="00EE592A" w:rsidRDefault="004B70FD" w:rsidP="004B70FD">
                            <w:pPr>
                              <w:pStyle w:val="Regulation3"/>
                              <w:rPr>
                                <w:rFonts w:cs="Arial"/>
                                <w:szCs w:val="18"/>
                                <w:lang w:eastAsia="en-AU" w:bidi="ar-SA"/>
                              </w:rPr>
                            </w:pPr>
                            <w:r w:rsidRPr="00CB6276">
                              <w:rPr>
                                <w:color w:val="00B0F0"/>
                              </w:rPr>
                              <w:t>A road car replacement block</w:t>
                            </w:r>
                            <w:r>
                              <w:rPr>
                                <w:color w:val="00B0F0"/>
                              </w:rPr>
                              <w:t xml:space="preserve">, supplied by the </w:t>
                            </w:r>
                            <w:r w:rsidR="006A2CC7">
                              <w:rPr>
                                <w:color w:val="00B0F0"/>
                              </w:rPr>
                              <w:t>same</w:t>
                            </w:r>
                            <w:r>
                              <w:rPr>
                                <w:color w:val="00B0F0"/>
                              </w:rPr>
                              <w:t xml:space="preserve"> manufacturer,</w:t>
                            </w:r>
                            <w:r w:rsidRPr="00CB6276">
                              <w:rPr>
                                <w:color w:val="00B0F0"/>
                              </w:rPr>
                              <w:t xml:space="preserve"> is permitted</w:t>
                            </w:r>
                            <w:r>
                              <w:rPr>
                                <w:color w:val="00B0F0"/>
                              </w:rPr>
                              <w:t xml:space="preserve"> if approved by Motorsport Australia and listed in the table below. To be listed as an approved replacement block, the replacement block </w:t>
                            </w:r>
                            <w:r w:rsidRPr="00CB6276">
                              <w:rPr>
                                <w:color w:val="00B0F0"/>
                              </w:rPr>
                              <w:t xml:space="preserve">may not have any changes that could offer increased performance over the </w:t>
                            </w:r>
                            <w:r>
                              <w:rPr>
                                <w:color w:val="00B0F0"/>
                              </w:rPr>
                              <w:t>mass produced engine block</w:t>
                            </w:r>
                            <w:r w:rsidRPr="00CB6276">
                              <w:rPr>
                                <w:color w:val="00B0F0"/>
                              </w:rPr>
                              <w:t xml:space="preserve">. </w:t>
                            </w:r>
                          </w:p>
                          <w:tbl>
                            <w:tblPr>
                              <w:tblW w:w="7792" w:type="dxa"/>
                              <w:jc w:val="center"/>
                              <w:tblLayout w:type="fixed"/>
                              <w:tblCellMar>
                                <w:left w:w="0" w:type="dxa"/>
                                <w:right w:w="0" w:type="dxa"/>
                              </w:tblCellMar>
                              <w:tblLook w:val="01E0" w:firstRow="1" w:lastRow="1" w:firstColumn="1" w:lastColumn="1" w:noHBand="0" w:noVBand="0"/>
                            </w:tblPr>
                            <w:tblGrid>
                              <w:gridCol w:w="3397"/>
                              <w:gridCol w:w="4395"/>
                            </w:tblGrid>
                            <w:tr w:rsidR="004B70FD" w:rsidRPr="002D2CDF" w14:paraId="3EC6C15E" w14:textId="77777777" w:rsidTr="00A7145F">
                              <w:trPr>
                                <w:trHeight w:hRule="exact" w:val="355"/>
                                <w:jc w:val="center"/>
                              </w:trPr>
                              <w:tc>
                                <w:tcPr>
                                  <w:tcW w:w="3397" w:type="dxa"/>
                                  <w:tcBorders>
                                    <w:top w:val="single" w:sz="4" w:space="0" w:color="FE2E15"/>
                                    <w:left w:val="single" w:sz="4" w:space="0" w:color="FE2E15"/>
                                    <w:bottom w:val="single" w:sz="4" w:space="0" w:color="FE2E15"/>
                                    <w:right w:val="single" w:sz="4" w:space="0" w:color="FE2E15"/>
                                  </w:tcBorders>
                                  <w:shd w:val="clear" w:color="auto" w:fill="FEE1D5"/>
                                </w:tcPr>
                                <w:p w14:paraId="7C63CDA0" w14:textId="77777777" w:rsidR="004B70FD" w:rsidRPr="00EE592A" w:rsidRDefault="004B70FD" w:rsidP="004B70FD">
                                  <w:pPr>
                                    <w:pStyle w:val="TableParagraph"/>
                                    <w:spacing w:before="68"/>
                                    <w:ind w:left="108"/>
                                    <w:rPr>
                                      <w:rFonts w:ascii="Arial" w:eastAsia="Arial" w:hAnsi="Arial" w:cs="Arial"/>
                                      <w:b/>
                                      <w:sz w:val="18"/>
                                      <w:szCs w:val="18"/>
                                      <w:lang w:val="en-AU"/>
                                    </w:rPr>
                                  </w:pPr>
                                  <w:r w:rsidRPr="00EE592A">
                                    <w:rPr>
                                      <w:rFonts w:ascii="Arial"/>
                                      <w:b/>
                                      <w:color w:val="231F20"/>
                                      <w:sz w:val="18"/>
                                      <w:lang w:val="en-AU"/>
                                    </w:rPr>
                                    <w:t>Mass produced engine block</w:t>
                                  </w:r>
                                </w:p>
                              </w:tc>
                              <w:tc>
                                <w:tcPr>
                                  <w:tcW w:w="4395" w:type="dxa"/>
                                  <w:tcBorders>
                                    <w:top w:val="single" w:sz="4" w:space="0" w:color="FE2E15"/>
                                    <w:left w:val="single" w:sz="4" w:space="0" w:color="FE2E15"/>
                                    <w:bottom w:val="single" w:sz="4" w:space="0" w:color="FE2E15"/>
                                    <w:right w:val="single" w:sz="4" w:space="0" w:color="FE2E15"/>
                                  </w:tcBorders>
                                  <w:shd w:val="clear" w:color="auto" w:fill="FEE1D5"/>
                                </w:tcPr>
                                <w:p w14:paraId="1BD468D7" w14:textId="77777777" w:rsidR="004B70FD" w:rsidRPr="00EE592A" w:rsidRDefault="004B70FD" w:rsidP="004B70FD">
                                  <w:pPr>
                                    <w:pStyle w:val="TableParagraph"/>
                                    <w:spacing w:before="68"/>
                                    <w:ind w:left="108"/>
                                    <w:rPr>
                                      <w:rFonts w:ascii="Arial" w:eastAsia="Arial" w:hAnsi="Arial" w:cs="Arial"/>
                                      <w:b/>
                                      <w:sz w:val="18"/>
                                      <w:szCs w:val="18"/>
                                      <w:lang w:val="en-AU"/>
                                    </w:rPr>
                                  </w:pPr>
                                  <w:r w:rsidRPr="00EE592A">
                                    <w:rPr>
                                      <w:rFonts w:ascii="Arial"/>
                                      <w:b/>
                                      <w:color w:val="231F20"/>
                                      <w:spacing w:val="-6"/>
                                      <w:sz w:val="18"/>
                                      <w:lang w:val="en-AU"/>
                                    </w:rPr>
                                    <w:t>Approved replacement block</w:t>
                                  </w:r>
                                </w:p>
                              </w:tc>
                            </w:tr>
                            <w:tr w:rsidR="004B70FD" w:rsidRPr="002D2CDF" w14:paraId="2B03CAD2" w14:textId="77777777" w:rsidTr="00A7145F">
                              <w:trPr>
                                <w:trHeight w:hRule="exact" w:val="367"/>
                                <w:jc w:val="center"/>
                              </w:trPr>
                              <w:tc>
                                <w:tcPr>
                                  <w:tcW w:w="3397" w:type="dxa"/>
                                  <w:tcBorders>
                                    <w:top w:val="single" w:sz="4" w:space="0" w:color="FE2E15"/>
                                    <w:left w:val="single" w:sz="4" w:space="0" w:color="FE2E15"/>
                                    <w:bottom w:val="single" w:sz="4" w:space="0" w:color="FE2E15"/>
                                    <w:right w:val="single" w:sz="4" w:space="0" w:color="FE2E15"/>
                                  </w:tcBorders>
                                  <w:shd w:val="clear" w:color="auto" w:fill="auto"/>
                                </w:tcPr>
                                <w:p w14:paraId="69F51501" w14:textId="523D68E8" w:rsidR="004B70FD" w:rsidRPr="006A2CC7" w:rsidRDefault="006A2CC7" w:rsidP="004B70FD">
                                  <w:pPr>
                                    <w:pStyle w:val="TableParagraph"/>
                                    <w:spacing w:before="68"/>
                                    <w:ind w:left="108"/>
                                    <w:rPr>
                                      <w:rFonts w:ascii="Arial" w:eastAsia="Arial" w:hAnsi="Arial" w:cs="Arial"/>
                                      <w:bCs/>
                                      <w:i/>
                                      <w:iCs/>
                                      <w:sz w:val="18"/>
                                      <w:szCs w:val="18"/>
                                      <w:lang w:val="en-AU"/>
                                    </w:rPr>
                                  </w:pPr>
                                  <w:r w:rsidRPr="006A2CC7">
                                    <w:rPr>
                                      <w:rFonts w:ascii="Arial"/>
                                      <w:bCs/>
                                      <w:i/>
                                      <w:iCs/>
                                      <w:color w:val="231F20"/>
                                      <w:sz w:val="18"/>
                                      <w:lang w:val="en-AU"/>
                                    </w:rPr>
                                    <w:t>MASS PRODUCED ENGINE BLOCK</w:t>
                                  </w:r>
                                </w:p>
                              </w:tc>
                              <w:tc>
                                <w:tcPr>
                                  <w:tcW w:w="4395" w:type="dxa"/>
                                  <w:tcBorders>
                                    <w:top w:val="single" w:sz="4" w:space="0" w:color="FE2E15"/>
                                    <w:left w:val="single" w:sz="4" w:space="0" w:color="FE2E15"/>
                                    <w:bottom w:val="single" w:sz="4" w:space="0" w:color="FE2E15"/>
                                    <w:right w:val="single" w:sz="4" w:space="0" w:color="FE2E15"/>
                                  </w:tcBorders>
                                </w:tcPr>
                                <w:p w14:paraId="7A33A9BE" w14:textId="6719C932" w:rsidR="004B70FD" w:rsidRPr="006A2CC7" w:rsidRDefault="006A2CC7" w:rsidP="004B70FD">
                                  <w:pPr>
                                    <w:pStyle w:val="TableParagraph"/>
                                    <w:spacing w:before="68"/>
                                    <w:ind w:left="108"/>
                                    <w:rPr>
                                      <w:rFonts w:ascii="Arial" w:eastAsia="Arial" w:hAnsi="Arial" w:cs="Arial"/>
                                      <w:i/>
                                      <w:iCs/>
                                      <w:sz w:val="18"/>
                                      <w:szCs w:val="18"/>
                                      <w:lang w:val="en-AU"/>
                                    </w:rPr>
                                  </w:pPr>
                                  <w:r w:rsidRPr="006A2CC7">
                                    <w:rPr>
                                      <w:rFonts w:ascii="Arial"/>
                                      <w:i/>
                                      <w:iCs/>
                                      <w:color w:val="231F20"/>
                                      <w:w w:val="105"/>
                                      <w:sz w:val="18"/>
                                      <w:lang w:val="en-AU"/>
                                    </w:rPr>
                                    <w:t>APPROVED REPLACEMENT BLOCK</w:t>
                                  </w:r>
                                </w:p>
                              </w:tc>
                            </w:tr>
                          </w:tbl>
                          <w:p w14:paraId="4B88AA3D" w14:textId="77777777" w:rsidR="004B70FD" w:rsidRPr="00EE592A" w:rsidRDefault="004B70FD" w:rsidP="004B70FD">
                            <w:pPr>
                              <w:pStyle w:val="Regulation3"/>
                              <w:numPr>
                                <w:ilvl w:val="0"/>
                                <w:numId w:val="0"/>
                              </w:numPr>
                              <w:ind w:left="1360"/>
                              <w:rPr>
                                <w:rFonts w:cs="Arial"/>
                                <w:szCs w:val="18"/>
                                <w:lang w:eastAsia="en-AU" w:bidi="ar-SA"/>
                              </w:rPr>
                            </w:pPr>
                          </w:p>
                          <w:p w14:paraId="54F7B8BB" w14:textId="77777777" w:rsidR="004B70FD" w:rsidRPr="00AF66DA" w:rsidRDefault="004B70FD" w:rsidP="004B70FD">
                            <w:pPr>
                              <w:pStyle w:val="Regulation3"/>
                              <w:rPr>
                                <w:rFonts w:cs="Arial"/>
                                <w:color w:val="00B0F0"/>
                                <w:szCs w:val="18"/>
                                <w:lang w:eastAsia="en-AU" w:bidi="ar-SA"/>
                              </w:rPr>
                            </w:pPr>
                            <w:r w:rsidRPr="00AF66DA">
                              <w:rPr>
                                <w:color w:val="00B0F0"/>
                              </w:rPr>
                              <w:t xml:space="preserve">An engine block that complies with the 2020 3J improved production regulations is permitted to be used until the end of the 2021 season. </w:t>
                            </w:r>
                          </w:p>
                          <w:p w14:paraId="2BCE89ED" w14:textId="113B7830" w:rsidR="004B70FD" w:rsidRDefault="004B70FD" w:rsidP="004B70FD">
                            <w:pPr>
                              <w:pStyle w:val="Regulation3"/>
                              <w:ind w:left="1361" w:hanging="681"/>
                              <w:jc w:val="both"/>
                            </w:pPr>
                            <w:r>
                              <w:t xml:space="preserve">Motorsport Australia reserves the right to add any engine block at its discretion.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83CD" id="_x0000_t202" coordsize="21600,21600" o:spt="202" path="m,l,21600r21600,l21600,xe">
                <v:stroke joinstyle="miter"/>
                <v:path gradientshapeok="t" o:connecttype="rect"/>
              </v:shapetype>
              <v:shape id="Text Box 2" o:spid="_x0000_s1026" type="#_x0000_t202" style="position:absolute;margin-left:0;margin-top:71.7pt;width:499.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">
                <v:textbox style="mso-fit-shape-to-text:t">
                  <w:txbxContent>
                    <w:p w14:paraId="7BCD66D4" w14:textId="604DE0A4" w:rsidR="004B70FD" w:rsidRPr="00CB553F" w:rsidRDefault="004B70FD" w:rsidP="004B70FD">
                      <w:pPr>
                        <w:pStyle w:val="Regulation2"/>
                      </w:pPr>
                      <w:r w:rsidRPr="00CB553F">
                        <w:t>BLOCK</w:t>
                      </w:r>
                    </w:p>
                    <w:p w14:paraId="11EEC343" w14:textId="77777777" w:rsidR="004B70FD" w:rsidRDefault="004B70FD" w:rsidP="004B70FD">
                      <w:pPr>
                        <w:pStyle w:val="Regulation3"/>
                        <w:ind w:left="1361" w:hanging="681"/>
                        <w:jc w:val="both"/>
                      </w:pPr>
                      <w:r>
                        <w:t>The block must have the same number of cylinders/rotors and the same configuration as was standard or available as a manufacturer’s option for that particular model (e.g. in line, horizontally opposed).</w:t>
                      </w:r>
                    </w:p>
                    <w:p w14:paraId="0FC598B7" w14:textId="77777777" w:rsidR="004B70FD" w:rsidRDefault="004B70FD" w:rsidP="004B70FD">
                      <w:pPr>
                        <w:pStyle w:val="Regulation3"/>
                        <w:ind w:left="1361" w:hanging="681"/>
                        <w:jc w:val="both"/>
                      </w:pPr>
                      <w:r>
                        <w:t>The block must be from the same manufacturer (e.g. Ford, GMH, and Nissan) as the original Automobile.</w:t>
                      </w:r>
                    </w:p>
                    <w:p w14:paraId="2A8060E0" w14:textId="77777777" w:rsidR="004B70FD" w:rsidRDefault="004B70FD" w:rsidP="004B70FD">
                      <w:pPr>
                        <w:pStyle w:val="Regulation3"/>
                        <w:ind w:left="1361" w:hanging="681"/>
                        <w:jc w:val="both"/>
                      </w:pPr>
                      <w:r>
                        <w:t>The cylinder block must either be:</w:t>
                      </w:r>
                    </w:p>
                    <w:p w14:paraId="1A11344A" w14:textId="77777777" w:rsidR="004B70FD" w:rsidRDefault="004B70FD" w:rsidP="004B70FD">
                      <w:pPr>
                        <w:pStyle w:val="Regulation4"/>
                        <w:jc w:val="both"/>
                      </w:pPr>
                      <w:r>
                        <w:t xml:space="preserve">derived from an eligible Automobile as detailed in Article 1.1; </w:t>
                      </w:r>
                      <w:r w:rsidRPr="00271310">
                        <w:t>or</w:t>
                      </w:r>
                    </w:p>
                    <w:p w14:paraId="210FB63A" w14:textId="77777777" w:rsidR="004B70FD" w:rsidRDefault="004B70FD" w:rsidP="004B70FD">
                      <w:pPr>
                        <w:pStyle w:val="Regulation4"/>
                        <w:jc w:val="both"/>
                      </w:pPr>
                      <w:r>
                        <w:t xml:space="preserve">derived from the same family of engines as an eligible Automobile using identical internal dimensions (with differences only in transmission mounting pattern, minor external casting differences etc.). The block type must be clearly identifiable, i.e. Nissan SR20DE, SR20DET, Holden Family II, Toyota 4AG series etc. </w:t>
                      </w:r>
                    </w:p>
                    <w:p w14:paraId="1F1FEE07" w14:textId="70410DB8" w:rsidR="006A2CC7" w:rsidRPr="006A2CC7" w:rsidRDefault="004B70FD" w:rsidP="004B70FD">
                      <w:pPr>
                        <w:pStyle w:val="Regulation3"/>
                        <w:rPr>
                          <w:rFonts w:cs="Arial"/>
                          <w:szCs w:val="18"/>
                          <w:lang w:eastAsia="en-AU" w:bidi="ar-SA"/>
                        </w:rPr>
                      </w:pPr>
                      <w:r w:rsidRPr="00CB6276">
                        <w:t xml:space="preserve">The </w:t>
                      </w:r>
                      <w:r w:rsidRPr="00CB6276">
                        <w:rPr>
                          <w:strike/>
                          <w:color w:val="FF0000"/>
                        </w:rPr>
                        <w:t>derived</w:t>
                      </w:r>
                      <w:r w:rsidRPr="00CB6276">
                        <w:t xml:space="preserve"> block must be identifiable as being from a mass-produced Automobile. </w:t>
                      </w:r>
                      <w:r w:rsidRPr="00CB6276">
                        <w:rPr>
                          <w:color w:val="00B0F0"/>
                        </w:rPr>
                        <w:t xml:space="preserve">It must </w:t>
                      </w:r>
                      <w:r w:rsidRPr="00CB6276">
                        <w:t>not have been exclusively developed for sporting evolution models or produced for homologation purposes in small numbers for competition use only</w:t>
                      </w:r>
                      <w:r w:rsidR="006A2CC7">
                        <w:t xml:space="preserve"> </w:t>
                      </w:r>
                      <w:r w:rsidR="006A2CC7" w:rsidRPr="006A2CC7">
                        <w:rPr>
                          <w:color w:val="00B0F0"/>
                        </w:rPr>
                        <w:t>or be an aftermarket replacement block, unless eligible in accordance with 4.2(e)</w:t>
                      </w:r>
                      <w:r w:rsidRPr="00CB6276">
                        <w:t>. Motorsport Australia will be the final arbiter in determining the eligibility of a block.</w:t>
                      </w:r>
                      <w:r>
                        <w:t xml:space="preserve"> </w:t>
                      </w:r>
                    </w:p>
                    <w:p w14:paraId="72CEA383" w14:textId="6D61B887" w:rsidR="004B70FD" w:rsidRPr="00EE592A" w:rsidRDefault="004B70FD" w:rsidP="004B70FD">
                      <w:pPr>
                        <w:pStyle w:val="Regulation3"/>
                        <w:rPr>
                          <w:rFonts w:cs="Arial"/>
                          <w:szCs w:val="18"/>
                          <w:lang w:eastAsia="en-AU" w:bidi="ar-SA"/>
                        </w:rPr>
                      </w:pPr>
                      <w:r w:rsidRPr="00CB6276">
                        <w:rPr>
                          <w:color w:val="00B0F0"/>
                        </w:rPr>
                        <w:t>A road car replacement block</w:t>
                      </w:r>
                      <w:r>
                        <w:rPr>
                          <w:color w:val="00B0F0"/>
                        </w:rPr>
                        <w:t xml:space="preserve">, supplied by the </w:t>
                      </w:r>
                      <w:r w:rsidR="006A2CC7">
                        <w:rPr>
                          <w:color w:val="00B0F0"/>
                        </w:rPr>
                        <w:t>same</w:t>
                      </w:r>
                      <w:r>
                        <w:rPr>
                          <w:color w:val="00B0F0"/>
                        </w:rPr>
                        <w:t xml:space="preserve"> manufacturer,</w:t>
                      </w:r>
                      <w:r w:rsidRPr="00CB6276">
                        <w:rPr>
                          <w:color w:val="00B0F0"/>
                        </w:rPr>
                        <w:t xml:space="preserve"> is permitted</w:t>
                      </w:r>
                      <w:r>
                        <w:rPr>
                          <w:color w:val="00B0F0"/>
                        </w:rPr>
                        <w:t xml:space="preserve"> if approved by Motorsport Australia and listed in the table below. To be listed as an approved replacement block, the replacement block </w:t>
                      </w:r>
                      <w:r w:rsidRPr="00CB6276">
                        <w:rPr>
                          <w:color w:val="00B0F0"/>
                        </w:rPr>
                        <w:t xml:space="preserve">may not have any changes that could offer increased performance over the </w:t>
                      </w:r>
                      <w:r>
                        <w:rPr>
                          <w:color w:val="00B0F0"/>
                        </w:rPr>
                        <w:t>mass produced engine block</w:t>
                      </w:r>
                      <w:r w:rsidRPr="00CB6276">
                        <w:rPr>
                          <w:color w:val="00B0F0"/>
                        </w:rPr>
                        <w:t xml:space="preserve">. </w:t>
                      </w:r>
                    </w:p>
                    <w:tbl>
                      <w:tblPr>
                        <w:tblW w:w="7792" w:type="dxa"/>
                        <w:jc w:val="center"/>
                        <w:tblLayout w:type="fixed"/>
                        <w:tblCellMar>
                          <w:left w:w="0" w:type="dxa"/>
                          <w:right w:w="0" w:type="dxa"/>
                        </w:tblCellMar>
                        <w:tblLook w:val="01E0" w:firstRow="1" w:lastRow="1" w:firstColumn="1" w:lastColumn="1" w:noHBand="0" w:noVBand="0"/>
                      </w:tblPr>
                      <w:tblGrid>
                        <w:gridCol w:w="3397"/>
                        <w:gridCol w:w="4395"/>
                      </w:tblGrid>
                      <w:tr w:rsidR="004B70FD" w:rsidRPr="002D2CDF" w14:paraId="3EC6C15E" w14:textId="77777777" w:rsidTr="00A7145F">
                        <w:trPr>
                          <w:trHeight w:hRule="exact" w:val="355"/>
                          <w:jc w:val="center"/>
                        </w:trPr>
                        <w:tc>
                          <w:tcPr>
                            <w:tcW w:w="3397" w:type="dxa"/>
                            <w:tcBorders>
                              <w:top w:val="single" w:sz="4" w:space="0" w:color="FE2E15"/>
                              <w:left w:val="single" w:sz="4" w:space="0" w:color="FE2E15"/>
                              <w:bottom w:val="single" w:sz="4" w:space="0" w:color="FE2E15"/>
                              <w:right w:val="single" w:sz="4" w:space="0" w:color="FE2E15"/>
                            </w:tcBorders>
                            <w:shd w:val="clear" w:color="auto" w:fill="FEE1D5"/>
                          </w:tcPr>
                          <w:p w14:paraId="7C63CDA0" w14:textId="77777777" w:rsidR="004B70FD" w:rsidRPr="00EE592A" w:rsidRDefault="004B70FD" w:rsidP="004B70FD">
                            <w:pPr>
                              <w:pStyle w:val="TableParagraph"/>
                              <w:spacing w:before="68"/>
                              <w:ind w:left="108"/>
                              <w:rPr>
                                <w:rFonts w:ascii="Arial" w:eastAsia="Arial" w:hAnsi="Arial" w:cs="Arial"/>
                                <w:b/>
                                <w:sz w:val="18"/>
                                <w:szCs w:val="18"/>
                                <w:lang w:val="en-AU"/>
                              </w:rPr>
                            </w:pPr>
                            <w:r w:rsidRPr="00EE592A">
                              <w:rPr>
                                <w:rFonts w:ascii="Arial"/>
                                <w:b/>
                                <w:color w:val="231F20"/>
                                <w:sz w:val="18"/>
                                <w:lang w:val="en-AU"/>
                              </w:rPr>
                              <w:t>Mass produced engine block</w:t>
                            </w:r>
                          </w:p>
                        </w:tc>
                        <w:tc>
                          <w:tcPr>
                            <w:tcW w:w="4395" w:type="dxa"/>
                            <w:tcBorders>
                              <w:top w:val="single" w:sz="4" w:space="0" w:color="FE2E15"/>
                              <w:left w:val="single" w:sz="4" w:space="0" w:color="FE2E15"/>
                              <w:bottom w:val="single" w:sz="4" w:space="0" w:color="FE2E15"/>
                              <w:right w:val="single" w:sz="4" w:space="0" w:color="FE2E15"/>
                            </w:tcBorders>
                            <w:shd w:val="clear" w:color="auto" w:fill="FEE1D5"/>
                          </w:tcPr>
                          <w:p w14:paraId="1BD468D7" w14:textId="77777777" w:rsidR="004B70FD" w:rsidRPr="00EE592A" w:rsidRDefault="004B70FD" w:rsidP="004B70FD">
                            <w:pPr>
                              <w:pStyle w:val="TableParagraph"/>
                              <w:spacing w:before="68"/>
                              <w:ind w:left="108"/>
                              <w:rPr>
                                <w:rFonts w:ascii="Arial" w:eastAsia="Arial" w:hAnsi="Arial" w:cs="Arial"/>
                                <w:b/>
                                <w:sz w:val="18"/>
                                <w:szCs w:val="18"/>
                                <w:lang w:val="en-AU"/>
                              </w:rPr>
                            </w:pPr>
                            <w:r w:rsidRPr="00EE592A">
                              <w:rPr>
                                <w:rFonts w:ascii="Arial"/>
                                <w:b/>
                                <w:color w:val="231F20"/>
                                <w:spacing w:val="-6"/>
                                <w:sz w:val="18"/>
                                <w:lang w:val="en-AU"/>
                              </w:rPr>
                              <w:t>Approved replacement block</w:t>
                            </w:r>
                          </w:p>
                        </w:tc>
                      </w:tr>
                      <w:tr w:rsidR="004B70FD" w:rsidRPr="002D2CDF" w14:paraId="2B03CAD2" w14:textId="77777777" w:rsidTr="00A7145F">
                        <w:trPr>
                          <w:trHeight w:hRule="exact" w:val="367"/>
                          <w:jc w:val="center"/>
                        </w:trPr>
                        <w:tc>
                          <w:tcPr>
                            <w:tcW w:w="3397" w:type="dxa"/>
                            <w:tcBorders>
                              <w:top w:val="single" w:sz="4" w:space="0" w:color="FE2E15"/>
                              <w:left w:val="single" w:sz="4" w:space="0" w:color="FE2E15"/>
                              <w:bottom w:val="single" w:sz="4" w:space="0" w:color="FE2E15"/>
                              <w:right w:val="single" w:sz="4" w:space="0" w:color="FE2E15"/>
                            </w:tcBorders>
                            <w:shd w:val="clear" w:color="auto" w:fill="auto"/>
                          </w:tcPr>
                          <w:p w14:paraId="69F51501" w14:textId="523D68E8" w:rsidR="004B70FD" w:rsidRPr="006A2CC7" w:rsidRDefault="006A2CC7" w:rsidP="004B70FD">
                            <w:pPr>
                              <w:pStyle w:val="TableParagraph"/>
                              <w:spacing w:before="68"/>
                              <w:ind w:left="108"/>
                              <w:rPr>
                                <w:rFonts w:ascii="Arial" w:eastAsia="Arial" w:hAnsi="Arial" w:cs="Arial"/>
                                <w:bCs/>
                                <w:i/>
                                <w:iCs/>
                                <w:sz w:val="18"/>
                                <w:szCs w:val="18"/>
                                <w:lang w:val="en-AU"/>
                              </w:rPr>
                            </w:pPr>
                            <w:r w:rsidRPr="006A2CC7">
                              <w:rPr>
                                <w:rFonts w:ascii="Arial"/>
                                <w:bCs/>
                                <w:i/>
                                <w:iCs/>
                                <w:color w:val="231F20"/>
                                <w:sz w:val="18"/>
                                <w:lang w:val="en-AU"/>
                              </w:rPr>
                              <w:t>MASS PRODUCED ENGINE BLOCK</w:t>
                            </w:r>
                          </w:p>
                        </w:tc>
                        <w:tc>
                          <w:tcPr>
                            <w:tcW w:w="4395" w:type="dxa"/>
                            <w:tcBorders>
                              <w:top w:val="single" w:sz="4" w:space="0" w:color="FE2E15"/>
                              <w:left w:val="single" w:sz="4" w:space="0" w:color="FE2E15"/>
                              <w:bottom w:val="single" w:sz="4" w:space="0" w:color="FE2E15"/>
                              <w:right w:val="single" w:sz="4" w:space="0" w:color="FE2E15"/>
                            </w:tcBorders>
                          </w:tcPr>
                          <w:p w14:paraId="7A33A9BE" w14:textId="6719C932" w:rsidR="004B70FD" w:rsidRPr="006A2CC7" w:rsidRDefault="006A2CC7" w:rsidP="004B70FD">
                            <w:pPr>
                              <w:pStyle w:val="TableParagraph"/>
                              <w:spacing w:before="68"/>
                              <w:ind w:left="108"/>
                              <w:rPr>
                                <w:rFonts w:ascii="Arial" w:eastAsia="Arial" w:hAnsi="Arial" w:cs="Arial"/>
                                <w:i/>
                                <w:iCs/>
                                <w:sz w:val="18"/>
                                <w:szCs w:val="18"/>
                                <w:lang w:val="en-AU"/>
                              </w:rPr>
                            </w:pPr>
                            <w:r w:rsidRPr="006A2CC7">
                              <w:rPr>
                                <w:rFonts w:ascii="Arial"/>
                                <w:i/>
                                <w:iCs/>
                                <w:color w:val="231F20"/>
                                <w:w w:val="105"/>
                                <w:sz w:val="18"/>
                                <w:lang w:val="en-AU"/>
                              </w:rPr>
                              <w:t>APPROVED REPLACEMENT BLOCK</w:t>
                            </w:r>
                          </w:p>
                        </w:tc>
                      </w:tr>
                    </w:tbl>
                    <w:p w14:paraId="4B88AA3D" w14:textId="77777777" w:rsidR="004B70FD" w:rsidRPr="00EE592A" w:rsidRDefault="004B70FD" w:rsidP="004B70FD">
                      <w:pPr>
                        <w:pStyle w:val="Regulation3"/>
                        <w:numPr>
                          <w:ilvl w:val="0"/>
                          <w:numId w:val="0"/>
                        </w:numPr>
                        <w:ind w:left="1360"/>
                        <w:rPr>
                          <w:rFonts w:cs="Arial"/>
                          <w:szCs w:val="18"/>
                          <w:lang w:eastAsia="en-AU" w:bidi="ar-SA"/>
                        </w:rPr>
                      </w:pPr>
                    </w:p>
                    <w:p w14:paraId="54F7B8BB" w14:textId="77777777" w:rsidR="004B70FD" w:rsidRPr="00AF66DA" w:rsidRDefault="004B70FD" w:rsidP="004B70FD">
                      <w:pPr>
                        <w:pStyle w:val="Regulation3"/>
                        <w:rPr>
                          <w:rFonts w:cs="Arial"/>
                          <w:color w:val="00B0F0"/>
                          <w:szCs w:val="18"/>
                          <w:lang w:eastAsia="en-AU" w:bidi="ar-SA"/>
                        </w:rPr>
                      </w:pPr>
                      <w:r w:rsidRPr="00AF66DA">
                        <w:rPr>
                          <w:color w:val="00B0F0"/>
                        </w:rPr>
                        <w:t xml:space="preserve">An engine block that complies with the 2020 3J improved production regulations is permitted to be used until the end of the 2021 season. </w:t>
                      </w:r>
                    </w:p>
                    <w:p w14:paraId="2BCE89ED" w14:textId="113B7830" w:rsidR="004B70FD" w:rsidRDefault="004B70FD" w:rsidP="004B70FD">
                      <w:pPr>
                        <w:pStyle w:val="Regulation3"/>
                        <w:ind w:left="1361" w:hanging="681"/>
                        <w:jc w:val="both"/>
                      </w:pPr>
                      <w:r>
                        <w:t xml:space="preserve">Motorsport Australia reserves the right to add any engine block at its discretion. </w:t>
                      </w:r>
                    </w:p>
                  </w:txbxContent>
                </v:textbox>
                <w10:wrap type="square" anchorx="margin"/>
              </v:shape>
            </w:pict>
          </mc:Fallback>
        </mc:AlternateContent>
      </w:r>
      <w:r>
        <w:t>The</w:t>
      </w:r>
      <w:r w:rsidR="000225AE">
        <w:t xml:space="preserve"> 3j</w:t>
      </w:r>
      <w:r>
        <w:t xml:space="preserve"> improved production category permits competitors to use engine blocks </w:t>
      </w:r>
      <w:r w:rsidR="006A2CC7">
        <w:t xml:space="preserve">only </w:t>
      </w:r>
      <w:r>
        <w:t>from mass produced vehicles. Some vehicle manufacturers offer replacement engine blocks for their road car engines, and these are permitted to be used under some conditions. The 3J improved production engine block regulations are as follows:</w:t>
      </w:r>
    </w:p>
    <w:p w14:paraId="5432117B" w14:textId="423EED2D" w:rsidR="004B70FD" w:rsidRPr="004B70FD" w:rsidRDefault="004B70FD" w:rsidP="004B70FD">
      <w:pPr>
        <w:pStyle w:val="ListParagraph"/>
        <w:keepNext/>
        <w:numPr>
          <w:ilvl w:val="0"/>
          <w:numId w:val="1"/>
        </w:numPr>
        <w:spacing w:before="280" w:after="140" w:line="280" w:lineRule="atLeast"/>
        <w:contextualSpacing w:val="0"/>
        <w:outlineLvl w:val="0"/>
        <w:rPr>
          <w:rFonts w:ascii="Arial" w:eastAsia="Times New Roman" w:hAnsi="Arial" w:cs="Angsana New"/>
          <w:b/>
          <w:caps/>
          <w:vanish/>
          <w:color w:val="FF4D0F"/>
          <w:spacing w:val="-10"/>
          <w:w w:val="95"/>
          <w:sz w:val="20"/>
          <w:lang w:eastAsia="zh-CN" w:bidi="th-TH"/>
        </w:rPr>
      </w:pPr>
    </w:p>
    <w:p w14:paraId="5A3B70A9" w14:textId="77777777" w:rsidR="004B70FD" w:rsidRPr="004B70FD" w:rsidRDefault="004B70FD" w:rsidP="004B70FD">
      <w:pPr>
        <w:pStyle w:val="ListParagraph"/>
        <w:keepNext/>
        <w:numPr>
          <w:ilvl w:val="0"/>
          <w:numId w:val="1"/>
        </w:numPr>
        <w:spacing w:before="280" w:after="140" w:line="280" w:lineRule="atLeast"/>
        <w:contextualSpacing w:val="0"/>
        <w:outlineLvl w:val="0"/>
        <w:rPr>
          <w:rFonts w:ascii="Arial" w:eastAsia="Times New Roman" w:hAnsi="Arial" w:cs="Angsana New"/>
          <w:b/>
          <w:caps/>
          <w:vanish/>
          <w:color w:val="FF4D0F"/>
          <w:spacing w:val="-10"/>
          <w:w w:val="95"/>
          <w:sz w:val="20"/>
          <w:lang w:eastAsia="zh-CN" w:bidi="th-TH"/>
        </w:rPr>
      </w:pPr>
    </w:p>
    <w:p w14:paraId="7124A89E" w14:textId="77777777" w:rsidR="004B70FD" w:rsidRPr="004B70FD" w:rsidRDefault="004B70FD" w:rsidP="004B70FD">
      <w:pPr>
        <w:pStyle w:val="ListParagraph"/>
        <w:keepNext/>
        <w:numPr>
          <w:ilvl w:val="0"/>
          <w:numId w:val="1"/>
        </w:numPr>
        <w:spacing w:before="280" w:after="140" w:line="280" w:lineRule="atLeast"/>
        <w:contextualSpacing w:val="0"/>
        <w:outlineLvl w:val="0"/>
        <w:rPr>
          <w:rFonts w:ascii="Arial" w:eastAsia="Times New Roman" w:hAnsi="Arial" w:cs="Angsana New"/>
          <w:b/>
          <w:caps/>
          <w:vanish/>
          <w:color w:val="FF4D0F"/>
          <w:spacing w:val="-10"/>
          <w:w w:val="95"/>
          <w:sz w:val="20"/>
          <w:lang w:eastAsia="zh-CN" w:bidi="th-TH"/>
        </w:rPr>
      </w:pPr>
    </w:p>
    <w:p w14:paraId="229958DF" w14:textId="77777777" w:rsidR="004B70FD" w:rsidRPr="004B70FD" w:rsidRDefault="004B70FD" w:rsidP="004B70FD">
      <w:pPr>
        <w:pStyle w:val="ListParagraph"/>
        <w:keepNext/>
        <w:numPr>
          <w:ilvl w:val="0"/>
          <w:numId w:val="1"/>
        </w:numPr>
        <w:spacing w:before="280" w:after="140" w:line="280" w:lineRule="atLeast"/>
        <w:contextualSpacing w:val="0"/>
        <w:outlineLvl w:val="0"/>
        <w:rPr>
          <w:rFonts w:ascii="Arial" w:eastAsia="Times New Roman" w:hAnsi="Arial" w:cs="Angsana New"/>
          <w:b/>
          <w:caps/>
          <w:vanish/>
          <w:color w:val="FF4D0F"/>
          <w:spacing w:val="-10"/>
          <w:w w:val="95"/>
          <w:sz w:val="20"/>
          <w:lang w:eastAsia="zh-CN" w:bidi="th-TH"/>
        </w:rPr>
      </w:pPr>
    </w:p>
    <w:p w14:paraId="12AD04E2" w14:textId="77777777" w:rsidR="004B70FD" w:rsidRPr="004B70FD" w:rsidRDefault="004B70FD" w:rsidP="004B70FD">
      <w:pPr>
        <w:pStyle w:val="ListParagraph"/>
        <w:keepNext/>
        <w:numPr>
          <w:ilvl w:val="1"/>
          <w:numId w:val="1"/>
        </w:numPr>
        <w:spacing w:before="60" w:after="60" w:line="280" w:lineRule="atLeast"/>
        <w:contextualSpacing w:val="0"/>
        <w:outlineLvl w:val="1"/>
        <w:rPr>
          <w:rFonts w:ascii="Arial Bold" w:eastAsia="Times New Roman" w:hAnsi="Arial Bold" w:cs="Angsana New"/>
          <w:b/>
          <w:vanish/>
          <w:w w:val="95"/>
          <w:sz w:val="18"/>
          <w:lang w:eastAsia="zh-CN" w:bidi="th-TH"/>
        </w:rPr>
      </w:pPr>
    </w:p>
    <w:p w14:paraId="4407677F" w14:textId="77777777" w:rsidR="000225AE" w:rsidRDefault="000225AE" w:rsidP="004B70FD">
      <w:pPr>
        <w:rPr>
          <w:b/>
          <w:bCs/>
          <w:sz w:val="24"/>
          <w:szCs w:val="24"/>
        </w:rPr>
      </w:pPr>
    </w:p>
    <w:p w14:paraId="41E9F3B7" w14:textId="03B14DEE" w:rsidR="00215B69" w:rsidRPr="00215B69" w:rsidRDefault="00215B69" w:rsidP="004B70FD">
      <w:pPr>
        <w:rPr>
          <w:b/>
          <w:bCs/>
          <w:sz w:val="24"/>
          <w:szCs w:val="24"/>
        </w:rPr>
      </w:pPr>
      <w:r w:rsidRPr="00215B69">
        <w:rPr>
          <w:b/>
          <w:bCs/>
          <w:sz w:val="24"/>
          <w:szCs w:val="24"/>
        </w:rPr>
        <w:t>Application Process:</w:t>
      </w:r>
    </w:p>
    <w:p w14:paraId="4372A984" w14:textId="626B2228" w:rsidR="00215B69" w:rsidRDefault="004B70FD" w:rsidP="004B70FD">
      <w:r>
        <w:t xml:space="preserve">If a </w:t>
      </w:r>
      <w:r w:rsidR="006A2CC7">
        <w:t xml:space="preserve">financial member of an improved production club </w:t>
      </w:r>
      <w:r>
        <w:t xml:space="preserve">wishes to have an engine block added to the approved replacement engine block </w:t>
      </w:r>
      <w:r w:rsidR="00215B69">
        <w:t>list, then</w:t>
      </w:r>
      <w:r w:rsidR="006A2CC7">
        <w:t>:</w:t>
      </w:r>
    </w:p>
    <w:p w14:paraId="01B6C118" w14:textId="2D564A2A" w:rsidR="00215B69" w:rsidRDefault="006A2CC7" w:rsidP="00215B69">
      <w:pPr>
        <w:pStyle w:val="ListParagraph"/>
        <w:numPr>
          <w:ilvl w:val="0"/>
          <w:numId w:val="3"/>
        </w:numPr>
      </w:pPr>
      <w:r>
        <w:t>The member needs to d</w:t>
      </w:r>
      <w:r w:rsidR="00215B69">
        <w:t>ownload this form and fill it in.</w:t>
      </w:r>
    </w:p>
    <w:p w14:paraId="4DF90554" w14:textId="58F035F5" w:rsidR="004B70FD" w:rsidRDefault="006A2CC7" w:rsidP="00215B69">
      <w:pPr>
        <w:pStyle w:val="ListParagraph"/>
        <w:numPr>
          <w:ilvl w:val="0"/>
          <w:numId w:val="3"/>
        </w:numPr>
      </w:pPr>
      <w:r>
        <w:t>The member then needs to s</w:t>
      </w:r>
      <w:r w:rsidR="004B70FD">
        <w:t>en</w:t>
      </w:r>
      <w:r w:rsidR="00215B69">
        <w:t>d</w:t>
      </w:r>
      <w:r w:rsidR="004B70FD">
        <w:t xml:space="preserve"> </w:t>
      </w:r>
      <w:r w:rsidR="00215B69">
        <w:t>the completed form</w:t>
      </w:r>
      <w:r>
        <w:t xml:space="preserve"> to</w:t>
      </w:r>
      <w:r w:rsidR="004B70FD">
        <w:t xml:space="preserve"> </w:t>
      </w:r>
      <w:r>
        <w:t>I</w:t>
      </w:r>
      <w:r w:rsidR="004B70FD">
        <w:t>mpro</w:t>
      </w:r>
      <w:r w:rsidR="00215B69">
        <w:t>ved Production Australia</w:t>
      </w:r>
      <w:r>
        <w:t>.</w:t>
      </w:r>
    </w:p>
    <w:p w14:paraId="18438C44" w14:textId="18118350" w:rsidR="00215B69" w:rsidRDefault="006A2CC7" w:rsidP="00357AD5">
      <w:pPr>
        <w:pStyle w:val="ListParagraph"/>
        <w:numPr>
          <w:ilvl w:val="0"/>
          <w:numId w:val="3"/>
        </w:numPr>
      </w:pPr>
      <w:r>
        <w:t>I</w:t>
      </w:r>
      <w:r w:rsidR="00215B69">
        <w:t xml:space="preserve">mproved Production Australia </w:t>
      </w:r>
      <w:r>
        <w:t xml:space="preserve">are required to </w:t>
      </w:r>
      <w:r w:rsidR="00215B69">
        <w:t>complete their section of the form</w:t>
      </w:r>
      <w:r w:rsidR="00357AD5">
        <w:t xml:space="preserve"> and </w:t>
      </w:r>
      <w:r w:rsidR="00215B69">
        <w:t>forward the completed form to the Australian Motor Racing Com</w:t>
      </w:r>
      <w:r w:rsidR="00014BCF">
        <w:t>m</w:t>
      </w:r>
      <w:r w:rsidR="00215B69">
        <w:t>ission (AMRC)</w:t>
      </w:r>
      <w:r>
        <w:t>.</w:t>
      </w:r>
    </w:p>
    <w:p w14:paraId="72ED89D3" w14:textId="6BF21FAC" w:rsidR="00215B69" w:rsidRDefault="006A2CC7" w:rsidP="006A2CC7">
      <w:pPr>
        <w:ind w:left="45"/>
      </w:pPr>
      <w:r>
        <w:t>Once the application has been made, t</w:t>
      </w:r>
      <w:r w:rsidR="00215B69">
        <w:t xml:space="preserve">he AMRC will </w:t>
      </w:r>
      <w:r w:rsidR="00357AD5">
        <w:t xml:space="preserve">determine </w:t>
      </w:r>
      <w:r w:rsidR="00215B69">
        <w:t>the eligibility of the proposed replacement block.</w:t>
      </w:r>
    </w:p>
    <w:p w14:paraId="22036090" w14:textId="3440EE38" w:rsidR="00215B69" w:rsidRDefault="00215B69" w:rsidP="006A2CC7">
      <w:pPr>
        <w:ind w:left="45"/>
      </w:pPr>
      <w:r>
        <w:t>If approved, the block will be added to the approved replacement block list, and a new rule set will be published with the requested block added to the approved blocks table.</w:t>
      </w:r>
    </w:p>
    <w:p w14:paraId="39FF9B15" w14:textId="1DED4C13" w:rsidR="00357AD5" w:rsidRDefault="00357AD5" w:rsidP="006A2CC7">
      <w:pPr>
        <w:ind w:left="45"/>
      </w:pPr>
    </w:p>
    <w:tbl>
      <w:tblPr>
        <w:tblStyle w:val="TableGrid"/>
        <w:tblW w:w="8750" w:type="dxa"/>
        <w:tblInd w:w="45" w:type="dxa"/>
        <w:tblLook w:val="04A0" w:firstRow="1" w:lastRow="0" w:firstColumn="1" w:lastColumn="0" w:noHBand="0" w:noVBand="1"/>
      </w:tblPr>
      <w:tblGrid>
        <w:gridCol w:w="3846"/>
        <w:gridCol w:w="4904"/>
      </w:tblGrid>
      <w:tr w:rsidR="00357AD5" w:rsidRPr="00357AD5" w14:paraId="6EA6ACED" w14:textId="77777777" w:rsidTr="00357AD5">
        <w:tc>
          <w:tcPr>
            <w:tcW w:w="8750" w:type="dxa"/>
            <w:gridSpan w:val="2"/>
            <w:shd w:val="clear" w:color="auto" w:fill="1F3864" w:themeFill="accent1" w:themeFillShade="80"/>
          </w:tcPr>
          <w:p w14:paraId="0EB91D53" w14:textId="31CCAAB9" w:rsidR="00215B69" w:rsidRPr="00357AD5" w:rsidRDefault="00215B69" w:rsidP="00215B69">
            <w:pPr>
              <w:jc w:val="center"/>
              <w:rPr>
                <w:b/>
                <w:bCs/>
                <w:color w:val="FFFFFF" w:themeColor="background1"/>
                <w:sz w:val="36"/>
                <w:szCs w:val="36"/>
              </w:rPr>
            </w:pPr>
            <w:r w:rsidRPr="00357AD5">
              <w:rPr>
                <w:color w:val="FFFFFF" w:themeColor="background1"/>
                <w:sz w:val="36"/>
                <w:szCs w:val="36"/>
              </w:rPr>
              <w:t>Competitor to fill in</w:t>
            </w:r>
          </w:p>
        </w:tc>
      </w:tr>
      <w:tr w:rsidR="00B30675" w:rsidRPr="00B30675" w14:paraId="7857BECC" w14:textId="77777777" w:rsidTr="00357AD5">
        <w:tc>
          <w:tcPr>
            <w:tcW w:w="8750" w:type="dxa"/>
            <w:gridSpan w:val="2"/>
            <w:shd w:val="clear" w:color="auto" w:fill="BFBFBF" w:themeFill="background1" w:themeFillShade="BF"/>
          </w:tcPr>
          <w:p w14:paraId="009F3F9B" w14:textId="74B5FA1F" w:rsidR="00B30675" w:rsidRPr="00B30675" w:rsidRDefault="00B30675" w:rsidP="00B30675">
            <w:pPr>
              <w:jc w:val="center"/>
              <w:rPr>
                <w:b/>
                <w:bCs/>
              </w:rPr>
            </w:pPr>
            <w:r>
              <w:rPr>
                <w:b/>
                <w:bCs/>
              </w:rPr>
              <w:t>Applicant details</w:t>
            </w:r>
          </w:p>
        </w:tc>
      </w:tr>
      <w:tr w:rsidR="00B30675" w:rsidRPr="00B30675" w14:paraId="26E4FADD" w14:textId="77777777" w:rsidTr="00357AD5">
        <w:tc>
          <w:tcPr>
            <w:tcW w:w="3846" w:type="dxa"/>
            <w:shd w:val="clear" w:color="auto" w:fill="FFFFFF" w:themeFill="background1"/>
          </w:tcPr>
          <w:p w14:paraId="3925DE44" w14:textId="25CB726F" w:rsidR="00B30675" w:rsidRPr="00B30675" w:rsidRDefault="004D08D7" w:rsidP="00B30675">
            <w:pPr>
              <w:rPr>
                <w:b/>
                <w:bCs/>
              </w:rPr>
            </w:pPr>
            <w:r>
              <w:rPr>
                <w:b/>
                <w:bCs/>
              </w:rPr>
              <w:t>Applicants Name</w:t>
            </w:r>
          </w:p>
        </w:tc>
        <w:tc>
          <w:tcPr>
            <w:tcW w:w="4904" w:type="dxa"/>
            <w:shd w:val="clear" w:color="auto" w:fill="FFFFFF" w:themeFill="background1"/>
          </w:tcPr>
          <w:p w14:paraId="73874167" w14:textId="1B3FDA8B" w:rsidR="00B30675" w:rsidRPr="00B30675" w:rsidRDefault="00B30675" w:rsidP="00B30675">
            <w:pPr>
              <w:jc w:val="center"/>
              <w:rPr>
                <w:b/>
                <w:bCs/>
              </w:rPr>
            </w:pPr>
          </w:p>
        </w:tc>
      </w:tr>
      <w:tr w:rsidR="004D08D7" w:rsidRPr="00B30675" w14:paraId="4CACAE46" w14:textId="77777777" w:rsidTr="00357AD5">
        <w:tc>
          <w:tcPr>
            <w:tcW w:w="3846" w:type="dxa"/>
            <w:shd w:val="clear" w:color="auto" w:fill="FFFFFF" w:themeFill="background1"/>
          </w:tcPr>
          <w:p w14:paraId="45064FA3" w14:textId="2374C4C9" w:rsidR="004D08D7" w:rsidRDefault="004D08D7" w:rsidP="00B30675">
            <w:pPr>
              <w:rPr>
                <w:b/>
                <w:bCs/>
              </w:rPr>
            </w:pPr>
            <w:r>
              <w:rPr>
                <w:b/>
                <w:bCs/>
              </w:rPr>
              <w:t>Applicant's Motorsport Australia Member Number</w:t>
            </w:r>
          </w:p>
        </w:tc>
        <w:tc>
          <w:tcPr>
            <w:tcW w:w="4904" w:type="dxa"/>
            <w:shd w:val="clear" w:color="auto" w:fill="FFFFFF" w:themeFill="background1"/>
          </w:tcPr>
          <w:p w14:paraId="1E2A0273" w14:textId="7BAFCBBA" w:rsidR="004D08D7" w:rsidRPr="00B30675" w:rsidRDefault="004D08D7" w:rsidP="00B30675">
            <w:pPr>
              <w:jc w:val="center"/>
              <w:rPr>
                <w:b/>
                <w:bCs/>
              </w:rPr>
            </w:pPr>
          </w:p>
        </w:tc>
      </w:tr>
      <w:tr w:rsidR="004D08D7" w:rsidRPr="00B30675" w14:paraId="3802CA7A" w14:textId="77777777" w:rsidTr="00357AD5">
        <w:tc>
          <w:tcPr>
            <w:tcW w:w="3846" w:type="dxa"/>
            <w:shd w:val="clear" w:color="auto" w:fill="FFFFFF" w:themeFill="background1"/>
          </w:tcPr>
          <w:p w14:paraId="208F85A2" w14:textId="2B47F448" w:rsidR="004D08D7" w:rsidRDefault="004D08D7" w:rsidP="00B30675">
            <w:pPr>
              <w:rPr>
                <w:b/>
                <w:bCs/>
              </w:rPr>
            </w:pPr>
            <w:r>
              <w:rPr>
                <w:b/>
                <w:bCs/>
              </w:rPr>
              <w:t>Vehicle log book number</w:t>
            </w:r>
          </w:p>
        </w:tc>
        <w:tc>
          <w:tcPr>
            <w:tcW w:w="4904" w:type="dxa"/>
            <w:shd w:val="clear" w:color="auto" w:fill="FFFFFF" w:themeFill="background1"/>
          </w:tcPr>
          <w:p w14:paraId="3D065BF6" w14:textId="2227987B" w:rsidR="004D08D7" w:rsidRPr="00B30675" w:rsidRDefault="004D08D7" w:rsidP="00B30675">
            <w:pPr>
              <w:jc w:val="center"/>
              <w:rPr>
                <w:b/>
                <w:bCs/>
              </w:rPr>
            </w:pPr>
          </w:p>
        </w:tc>
      </w:tr>
      <w:tr w:rsidR="004D08D7" w:rsidRPr="00B30675" w14:paraId="39A1352B" w14:textId="77777777" w:rsidTr="00357AD5">
        <w:tc>
          <w:tcPr>
            <w:tcW w:w="3846" w:type="dxa"/>
            <w:shd w:val="clear" w:color="auto" w:fill="FFFFFF" w:themeFill="background1"/>
          </w:tcPr>
          <w:p w14:paraId="05FE2D6E" w14:textId="0FD1276C" w:rsidR="004D08D7" w:rsidRDefault="004D08D7" w:rsidP="00B30675">
            <w:pPr>
              <w:rPr>
                <w:b/>
                <w:bCs/>
              </w:rPr>
            </w:pPr>
            <w:r>
              <w:rPr>
                <w:b/>
                <w:bCs/>
              </w:rPr>
              <w:t>Vehicle make and model</w:t>
            </w:r>
          </w:p>
        </w:tc>
        <w:tc>
          <w:tcPr>
            <w:tcW w:w="4904" w:type="dxa"/>
            <w:shd w:val="clear" w:color="auto" w:fill="FFFFFF" w:themeFill="background1"/>
          </w:tcPr>
          <w:p w14:paraId="03219015" w14:textId="0BCA8565" w:rsidR="004D08D7" w:rsidRDefault="004D08D7" w:rsidP="00B30675">
            <w:pPr>
              <w:jc w:val="center"/>
              <w:rPr>
                <w:b/>
                <w:bCs/>
              </w:rPr>
            </w:pPr>
          </w:p>
        </w:tc>
      </w:tr>
      <w:tr w:rsidR="006A2CC7" w:rsidRPr="00B30675" w14:paraId="541F5043" w14:textId="77777777" w:rsidTr="00357AD5">
        <w:tc>
          <w:tcPr>
            <w:tcW w:w="3846" w:type="dxa"/>
            <w:shd w:val="clear" w:color="auto" w:fill="FFFFFF" w:themeFill="background1"/>
          </w:tcPr>
          <w:p w14:paraId="0A4A3D8A" w14:textId="2002BC0E" w:rsidR="006A2CC7" w:rsidRDefault="006A2CC7" w:rsidP="00B30675">
            <w:pPr>
              <w:rPr>
                <w:b/>
                <w:bCs/>
              </w:rPr>
            </w:pPr>
            <w:r>
              <w:rPr>
                <w:b/>
                <w:bCs/>
              </w:rPr>
              <w:t>IPRA Club and membership number</w:t>
            </w:r>
          </w:p>
        </w:tc>
        <w:tc>
          <w:tcPr>
            <w:tcW w:w="4904" w:type="dxa"/>
            <w:shd w:val="clear" w:color="auto" w:fill="FFFFFF" w:themeFill="background1"/>
          </w:tcPr>
          <w:p w14:paraId="5D279F83" w14:textId="77777777" w:rsidR="006A2CC7" w:rsidRDefault="006A2CC7" w:rsidP="00B30675">
            <w:pPr>
              <w:jc w:val="center"/>
              <w:rPr>
                <w:b/>
                <w:bCs/>
              </w:rPr>
            </w:pPr>
          </w:p>
        </w:tc>
      </w:tr>
      <w:tr w:rsidR="00B30675" w:rsidRPr="00B30675" w14:paraId="3BDAB1B8" w14:textId="77777777" w:rsidTr="00357AD5">
        <w:tc>
          <w:tcPr>
            <w:tcW w:w="8750" w:type="dxa"/>
            <w:gridSpan w:val="2"/>
            <w:shd w:val="clear" w:color="auto" w:fill="BFBFBF" w:themeFill="background1" w:themeFillShade="BF"/>
          </w:tcPr>
          <w:p w14:paraId="3B300272" w14:textId="481DE0EC" w:rsidR="00B30675" w:rsidRPr="00B30675" w:rsidRDefault="00B30675" w:rsidP="00B30675">
            <w:pPr>
              <w:jc w:val="center"/>
              <w:rPr>
                <w:b/>
                <w:bCs/>
              </w:rPr>
            </w:pPr>
            <w:r w:rsidRPr="00B30675">
              <w:rPr>
                <w:b/>
                <w:bCs/>
              </w:rPr>
              <w:t>Details of engine to be replaced</w:t>
            </w:r>
          </w:p>
        </w:tc>
      </w:tr>
      <w:tr w:rsidR="00215B69" w14:paraId="455D6317" w14:textId="77777777" w:rsidTr="00357AD5">
        <w:tc>
          <w:tcPr>
            <w:tcW w:w="3846" w:type="dxa"/>
          </w:tcPr>
          <w:p w14:paraId="3D9262F1" w14:textId="351555DD" w:rsidR="00215B69" w:rsidRPr="00B30675" w:rsidRDefault="00215B69" w:rsidP="00215B69">
            <w:pPr>
              <w:rPr>
                <w:b/>
                <w:bCs/>
              </w:rPr>
            </w:pPr>
            <w:r w:rsidRPr="00B30675">
              <w:rPr>
                <w:b/>
                <w:bCs/>
              </w:rPr>
              <w:t xml:space="preserve">Name of the </w:t>
            </w:r>
            <w:r w:rsidR="00B30675" w:rsidRPr="00B30675">
              <w:rPr>
                <w:b/>
                <w:bCs/>
              </w:rPr>
              <w:t>mass-produced</w:t>
            </w:r>
            <w:r w:rsidRPr="00B30675">
              <w:rPr>
                <w:b/>
                <w:bCs/>
              </w:rPr>
              <w:t xml:space="preserve"> engine block type </w:t>
            </w:r>
            <w:r w:rsidR="004D08D7">
              <w:rPr>
                <w:b/>
                <w:bCs/>
              </w:rPr>
              <w:t>to be replaced</w:t>
            </w:r>
          </w:p>
        </w:tc>
        <w:tc>
          <w:tcPr>
            <w:tcW w:w="4904" w:type="dxa"/>
          </w:tcPr>
          <w:p w14:paraId="33EA7A2A" w14:textId="23F52D78" w:rsidR="00215B69" w:rsidRDefault="00215B69" w:rsidP="00215B69"/>
        </w:tc>
      </w:tr>
      <w:tr w:rsidR="00B30675" w14:paraId="1A7C5DD7" w14:textId="77777777" w:rsidTr="00357AD5">
        <w:tc>
          <w:tcPr>
            <w:tcW w:w="3846" w:type="dxa"/>
          </w:tcPr>
          <w:p w14:paraId="23A87427" w14:textId="215478F1" w:rsidR="00B30675" w:rsidRPr="00B30675" w:rsidRDefault="00B30675" w:rsidP="00215B69">
            <w:pPr>
              <w:rPr>
                <w:b/>
                <w:bCs/>
              </w:rPr>
            </w:pPr>
            <w:r w:rsidRPr="00B30675">
              <w:rPr>
                <w:b/>
                <w:bCs/>
              </w:rPr>
              <w:t xml:space="preserve">Identification for the </w:t>
            </w:r>
            <w:r w:rsidR="004D08D7">
              <w:rPr>
                <w:b/>
                <w:bCs/>
              </w:rPr>
              <w:t>mass-produced engine to be replaced</w:t>
            </w:r>
          </w:p>
        </w:tc>
        <w:tc>
          <w:tcPr>
            <w:tcW w:w="4904" w:type="dxa"/>
          </w:tcPr>
          <w:p w14:paraId="107CB019" w14:textId="0FDE19E8" w:rsidR="00B30675" w:rsidRDefault="00B30675" w:rsidP="00215B69"/>
        </w:tc>
      </w:tr>
      <w:tr w:rsidR="00B30675" w:rsidRPr="00B30675" w14:paraId="03F2D7D5" w14:textId="77777777" w:rsidTr="00357AD5">
        <w:tc>
          <w:tcPr>
            <w:tcW w:w="8750" w:type="dxa"/>
            <w:gridSpan w:val="2"/>
            <w:shd w:val="clear" w:color="auto" w:fill="BFBFBF" w:themeFill="background1" w:themeFillShade="BF"/>
          </w:tcPr>
          <w:p w14:paraId="32D3D72E" w14:textId="59A97843" w:rsidR="00B30675" w:rsidRPr="00B30675" w:rsidRDefault="00B30675" w:rsidP="00A7145F">
            <w:pPr>
              <w:jc w:val="center"/>
              <w:rPr>
                <w:b/>
                <w:bCs/>
              </w:rPr>
            </w:pPr>
            <w:r w:rsidRPr="00B30675">
              <w:rPr>
                <w:b/>
                <w:bCs/>
              </w:rPr>
              <w:t xml:space="preserve">Details of engine </w:t>
            </w:r>
            <w:r>
              <w:rPr>
                <w:b/>
                <w:bCs/>
              </w:rPr>
              <w:t>the replacement engine</w:t>
            </w:r>
          </w:p>
        </w:tc>
      </w:tr>
      <w:tr w:rsidR="00215B69" w14:paraId="2A7F893F" w14:textId="77777777" w:rsidTr="00357AD5">
        <w:tc>
          <w:tcPr>
            <w:tcW w:w="3846" w:type="dxa"/>
          </w:tcPr>
          <w:p w14:paraId="26824EFE" w14:textId="76177742" w:rsidR="00B30675" w:rsidRPr="00B30675" w:rsidRDefault="00B30675" w:rsidP="00B30675">
            <w:pPr>
              <w:rPr>
                <w:b/>
                <w:bCs/>
              </w:rPr>
            </w:pPr>
            <w:r w:rsidRPr="00B30675">
              <w:rPr>
                <w:b/>
                <w:bCs/>
              </w:rPr>
              <w:t>Name of the Replacement engine block</w:t>
            </w:r>
          </w:p>
        </w:tc>
        <w:tc>
          <w:tcPr>
            <w:tcW w:w="4904" w:type="dxa"/>
          </w:tcPr>
          <w:p w14:paraId="701D2E21" w14:textId="56948D6E" w:rsidR="00215B69" w:rsidRDefault="00215B69" w:rsidP="00215B69"/>
        </w:tc>
      </w:tr>
      <w:tr w:rsidR="00215B69" w14:paraId="5CE43CBF" w14:textId="77777777" w:rsidTr="00357AD5">
        <w:tc>
          <w:tcPr>
            <w:tcW w:w="3846" w:type="dxa"/>
          </w:tcPr>
          <w:p w14:paraId="79C10708" w14:textId="0D10F274" w:rsidR="00B30675" w:rsidRPr="00B30675" w:rsidRDefault="00B30675" w:rsidP="00215B69">
            <w:pPr>
              <w:rPr>
                <w:b/>
                <w:bCs/>
              </w:rPr>
            </w:pPr>
            <w:r>
              <w:rPr>
                <w:b/>
                <w:bCs/>
              </w:rPr>
              <w:t>I</w:t>
            </w:r>
            <w:r w:rsidRPr="00B30675">
              <w:rPr>
                <w:b/>
                <w:bCs/>
              </w:rPr>
              <w:t>dentification for the replacement engine block</w:t>
            </w:r>
          </w:p>
        </w:tc>
        <w:tc>
          <w:tcPr>
            <w:tcW w:w="4904" w:type="dxa"/>
          </w:tcPr>
          <w:p w14:paraId="7D37B33E" w14:textId="3D380326" w:rsidR="00215B69" w:rsidRDefault="00215B69" w:rsidP="006A2CC7"/>
        </w:tc>
      </w:tr>
      <w:tr w:rsidR="0018476D" w14:paraId="6D98D559" w14:textId="77777777" w:rsidTr="00357AD5">
        <w:trPr>
          <w:trHeight w:val="2635"/>
        </w:trPr>
        <w:tc>
          <w:tcPr>
            <w:tcW w:w="8750" w:type="dxa"/>
            <w:gridSpan w:val="2"/>
          </w:tcPr>
          <w:p w14:paraId="3BF9BBC2" w14:textId="77777777" w:rsidR="0018476D" w:rsidRDefault="0018476D" w:rsidP="00215B69">
            <w:pPr>
              <w:rPr>
                <w:b/>
                <w:bCs/>
              </w:rPr>
            </w:pPr>
            <w:r w:rsidRPr="0018476D">
              <w:rPr>
                <w:b/>
                <w:bCs/>
              </w:rPr>
              <w:t>Select any item where the Replacement block is different to the mass produced block.</w:t>
            </w:r>
          </w:p>
          <w:p w14:paraId="0CD78723" w14:textId="2B9A0436" w:rsidR="0018476D" w:rsidRPr="0018476D" w:rsidRDefault="0018476D" w:rsidP="0018476D">
            <w:pPr>
              <w:pStyle w:val="ListParagraph"/>
              <w:numPr>
                <w:ilvl w:val="0"/>
                <w:numId w:val="5"/>
              </w:numPr>
              <w:rPr>
                <w:b/>
                <w:bCs/>
              </w:rPr>
            </w:pPr>
            <w:r w:rsidRPr="0018476D">
              <w:rPr>
                <w:b/>
                <w:bCs/>
              </w:rPr>
              <w:t>Engine Block material</w:t>
            </w:r>
            <w:r w:rsidR="00C73EEE">
              <w:rPr>
                <w:b/>
                <w:bCs/>
              </w:rPr>
              <w:t xml:space="preserve"> (</w:t>
            </w:r>
            <w:r w:rsidR="00C73EEE" w:rsidRPr="00742C76">
              <w:rPr>
                <w:b/>
                <w:bCs/>
              </w:rPr>
              <w:t>Y</w:t>
            </w:r>
            <w:r w:rsidR="00C73EEE">
              <w:rPr>
                <w:b/>
                <w:bCs/>
              </w:rPr>
              <w:t>\N)</w:t>
            </w:r>
            <w:r w:rsidR="00742C76">
              <w:rPr>
                <w:b/>
                <w:bCs/>
              </w:rPr>
              <w:t xml:space="preserve">   </w:t>
            </w:r>
          </w:p>
          <w:p w14:paraId="2D99343B" w14:textId="5F3728A8" w:rsidR="0018476D" w:rsidRDefault="0018476D" w:rsidP="0018476D">
            <w:pPr>
              <w:pStyle w:val="ListParagraph"/>
              <w:numPr>
                <w:ilvl w:val="0"/>
                <w:numId w:val="5"/>
              </w:numPr>
              <w:rPr>
                <w:b/>
                <w:bCs/>
              </w:rPr>
            </w:pPr>
            <w:r w:rsidRPr="0018476D">
              <w:rPr>
                <w:b/>
                <w:bCs/>
              </w:rPr>
              <w:t>Number of main cap bolts</w:t>
            </w:r>
            <w:r w:rsidR="00C73EEE">
              <w:rPr>
                <w:b/>
                <w:bCs/>
              </w:rPr>
              <w:t xml:space="preserve"> (Y\N)</w:t>
            </w:r>
          </w:p>
          <w:p w14:paraId="19B687BA" w14:textId="6F377880" w:rsidR="0018476D" w:rsidRDefault="0018476D" w:rsidP="0018476D">
            <w:pPr>
              <w:pStyle w:val="ListParagraph"/>
              <w:numPr>
                <w:ilvl w:val="0"/>
                <w:numId w:val="5"/>
              </w:numPr>
              <w:rPr>
                <w:b/>
                <w:bCs/>
              </w:rPr>
            </w:pPr>
            <w:r>
              <w:rPr>
                <w:b/>
                <w:bCs/>
              </w:rPr>
              <w:t>Bore type (</w:t>
            </w:r>
            <w:proofErr w:type="spellStart"/>
            <w:proofErr w:type="gramStart"/>
            <w:r>
              <w:rPr>
                <w:b/>
                <w:bCs/>
              </w:rPr>
              <w:t>ie</w:t>
            </w:r>
            <w:proofErr w:type="spellEnd"/>
            <w:proofErr w:type="gramEnd"/>
            <w:r>
              <w:rPr>
                <w:b/>
                <w:bCs/>
              </w:rPr>
              <w:t xml:space="preserve"> Siamese)</w:t>
            </w:r>
            <w:r w:rsidR="00C73EEE">
              <w:rPr>
                <w:b/>
                <w:bCs/>
              </w:rPr>
              <w:t xml:space="preserve"> (Y\N)</w:t>
            </w:r>
            <w:r w:rsidR="00742C76">
              <w:rPr>
                <w:b/>
                <w:bCs/>
              </w:rPr>
              <w:t xml:space="preserve">  </w:t>
            </w:r>
          </w:p>
          <w:p w14:paraId="62D3D66F" w14:textId="09CC24D6" w:rsidR="0018476D" w:rsidRDefault="0018476D" w:rsidP="0018476D">
            <w:pPr>
              <w:pStyle w:val="ListParagraph"/>
              <w:numPr>
                <w:ilvl w:val="0"/>
                <w:numId w:val="5"/>
              </w:numPr>
              <w:rPr>
                <w:b/>
                <w:bCs/>
              </w:rPr>
            </w:pPr>
            <w:r>
              <w:rPr>
                <w:b/>
                <w:bCs/>
              </w:rPr>
              <w:t>Cooling system</w:t>
            </w:r>
            <w:r w:rsidR="00C73EEE">
              <w:rPr>
                <w:b/>
                <w:bCs/>
              </w:rPr>
              <w:t xml:space="preserve"> (Y\N)</w:t>
            </w:r>
            <w:r w:rsidR="00742C76">
              <w:rPr>
                <w:b/>
                <w:bCs/>
              </w:rPr>
              <w:t xml:space="preserve">  </w:t>
            </w:r>
          </w:p>
          <w:p w14:paraId="29807AAC" w14:textId="62173AAA" w:rsidR="0018476D" w:rsidRDefault="0018476D" w:rsidP="0018476D">
            <w:pPr>
              <w:pStyle w:val="ListParagraph"/>
              <w:numPr>
                <w:ilvl w:val="0"/>
                <w:numId w:val="5"/>
              </w:numPr>
              <w:rPr>
                <w:b/>
                <w:bCs/>
              </w:rPr>
            </w:pPr>
            <w:r>
              <w:rPr>
                <w:b/>
                <w:bCs/>
              </w:rPr>
              <w:t>Oiling system</w:t>
            </w:r>
            <w:r w:rsidR="00C73EEE">
              <w:rPr>
                <w:b/>
                <w:bCs/>
              </w:rPr>
              <w:t xml:space="preserve"> (Y\N)</w:t>
            </w:r>
            <w:r w:rsidR="00742C76">
              <w:rPr>
                <w:b/>
                <w:bCs/>
              </w:rPr>
              <w:t xml:space="preserve">  </w:t>
            </w:r>
          </w:p>
          <w:p w14:paraId="20F9CC07" w14:textId="185F3108" w:rsidR="0018476D" w:rsidRDefault="0018476D" w:rsidP="0018476D">
            <w:pPr>
              <w:pStyle w:val="ListParagraph"/>
              <w:numPr>
                <w:ilvl w:val="0"/>
                <w:numId w:val="5"/>
              </w:numPr>
              <w:rPr>
                <w:b/>
                <w:bCs/>
              </w:rPr>
            </w:pPr>
            <w:r>
              <w:rPr>
                <w:b/>
                <w:bCs/>
              </w:rPr>
              <w:t xml:space="preserve">Head bolt </w:t>
            </w:r>
            <w:r w:rsidR="00C73EEE">
              <w:rPr>
                <w:b/>
                <w:bCs/>
              </w:rPr>
              <w:t>position (Y\N)</w:t>
            </w:r>
            <w:r w:rsidR="00742C76">
              <w:rPr>
                <w:b/>
                <w:bCs/>
              </w:rPr>
              <w:t xml:space="preserve">  </w:t>
            </w:r>
          </w:p>
          <w:p w14:paraId="7265A98C" w14:textId="7034C364" w:rsidR="0018476D" w:rsidRDefault="0018476D" w:rsidP="0018476D">
            <w:pPr>
              <w:pStyle w:val="ListParagraph"/>
              <w:numPr>
                <w:ilvl w:val="0"/>
                <w:numId w:val="5"/>
              </w:numPr>
              <w:rPr>
                <w:b/>
                <w:bCs/>
              </w:rPr>
            </w:pPr>
            <w:r>
              <w:rPr>
                <w:b/>
                <w:bCs/>
              </w:rPr>
              <w:t>Bellhousing pattern</w:t>
            </w:r>
            <w:r w:rsidR="00C73EEE">
              <w:rPr>
                <w:b/>
                <w:bCs/>
              </w:rPr>
              <w:t xml:space="preserve"> (Y\N)</w:t>
            </w:r>
            <w:r w:rsidR="00742C76">
              <w:rPr>
                <w:b/>
                <w:bCs/>
              </w:rPr>
              <w:t xml:space="preserve"> </w:t>
            </w:r>
          </w:p>
          <w:p w14:paraId="1AD803D3" w14:textId="54D7F62E" w:rsidR="0018476D" w:rsidRPr="0018476D" w:rsidRDefault="0018476D" w:rsidP="0018476D">
            <w:pPr>
              <w:pStyle w:val="ListParagraph"/>
              <w:numPr>
                <w:ilvl w:val="0"/>
                <w:numId w:val="5"/>
              </w:numPr>
              <w:rPr>
                <w:b/>
                <w:bCs/>
              </w:rPr>
            </w:pPr>
            <w:r>
              <w:rPr>
                <w:b/>
                <w:bCs/>
              </w:rPr>
              <w:t>Block material thickness</w:t>
            </w:r>
            <w:r w:rsidR="00C73EEE">
              <w:rPr>
                <w:b/>
                <w:bCs/>
              </w:rPr>
              <w:t xml:space="preserve"> (Y\N)</w:t>
            </w:r>
            <w:r w:rsidR="00742C76">
              <w:rPr>
                <w:b/>
                <w:bCs/>
              </w:rPr>
              <w:t xml:space="preserve"> </w:t>
            </w:r>
          </w:p>
          <w:p w14:paraId="54341866" w14:textId="04CFA929" w:rsidR="0018476D" w:rsidRPr="0018476D" w:rsidRDefault="0018476D" w:rsidP="00215B69">
            <w:pPr>
              <w:rPr>
                <w:b/>
                <w:bCs/>
              </w:rPr>
            </w:pPr>
            <w:r>
              <w:rPr>
                <w:b/>
                <w:bCs/>
              </w:rPr>
              <w:t xml:space="preserve"> </w:t>
            </w:r>
          </w:p>
        </w:tc>
      </w:tr>
      <w:tr w:rsidR="00215B69" w14:paraId="17DC3B12" w14:textId="77777777" w:rsidTr="00357AD5">
        <w:trPr>
          <w:trHeight w:val="2383"/>
        </w:trPr>
        <w:tc>
          <w:tcPr>
            <w:tcW w:w="3846" w:type="dxa"/>
          </w:tcPr>
          <w:p w14:paraId="1B3D9E70" w14:textId="5BE2ABA5" w:rsidR="00215B69" w:rsidRPr="00B30675" w:rsidRDefault="00B30675" w:rsidP="00215B69">
            <w:pPr>
              <w:rPr>
                <w:b/>
                <w:bCs/>
              </w:rPr>
            </w:pPr>
            <w:r>
              <w:rPr>
                <w:b/>
                <w:bCs/>
              </w:rPr>
              <w:t xml:space="preserve">List </w:t>
            </w:r>
            <w:r w:rsidR="00C73EEE">
              <w:rPr>
                <w:b/>
                <w:bCs/>
              </w:rPr>
              <w:t>any additional i</w:t>
            </w:r>
            <w:r>
              <w:rPr>
                <w:b/>
                <w:bCs/>
              </w:rPr>
              <w:t>tems where the replacement engine</w:t>
            </w:r>
            <w:r w:rsidR="004015AC">
              <w:rPr>
                <w:b/>
                <w:bCs/>
              </w:rPr>
              <w:t xml:space="preserve"> block</w:t>
            </w:r>
            <w:r>
              <w:rPr>
                <w:b/>
                <w:bCs/>
              </w:rPr>
              <w:t xml:space="preserve"> differs from the Mass produced engine</w:t>
            </w:r>
            <w:r w:rsidR="004D08D7">
              <w:rPr>
                <w:b/>
                <w:bCs/>
              </w:rPr>
              <w:t xml:space="preserve"> block</w:t>
            </w:r>
          </w:p>
        </w:tc>
        <w:tc>
          <w:tcPr>
            <w:tcW w:w="4904" w:type="dxa"/>
          </w:tcPr>
          <w:p w14:paraId="25F3DFC4" w14:textId="77777777" w:rsidR="00215B69" w:rsidRDefault="00215B69" w:rsidP="00215B69"/>
        </w:tc>
      </w:tr>
      <w:tr w:rsidR="00B30675" w14:paraId="3E38BB85" w14:textId="77777777" w:rsidTr="00357AD5">
        <w:trPr>
          <w:trHeight w:val="2967"/>
        </w:trPr>
        <w:tc>
          <w:tcPr>
            <w:tcW w:w="3846" w:type="dxa"/>
          </w:tcPr>
          <w:p w14:paraId="3DE36BF9" w14:textId="6CC27308" w:rsidR="00B30675" w:rsidRPr="00B30675" w:rsidRDefault="00C73EEE" w:rsidP="00A7145F">
            <w:pPr>
              <w:rPr>
                <w:b/>
                <w:bCs/>
              </w:rPr>
            </w:pPr>
            <w:r>
              <w:rPr>
                <w:b/>
                <w:bCs/>
              </w:rPr>
              <w:t>List t</w:t>
            </w:r>
            <w:r w:rsidR="00B30675" w:rsidRPr="00B30675">
              <w:rPr>
                <w:b/>
                <w:bCs/>
              </w:rPr>
              <w:t xml:space="preserve">he reasons why </w:t>
            </w:r>
            <w:r w:rsidR="00B30675">
              <w:rPr>
                <w:b/>
                <w:bCs/>
              </w:rPr>
              <w:t xml:space="preserve">the competitor believes that this </w:t>
            </w:r>
            <w:r w:rsidR="00B30675" w:rsidRPr="00B30675">
              <w:rPr>
                <w:b/>
                <w:bCs/>
              </w:rPr>
              <w:t>engine block should be approved</w:t>
            </w:r>
            <w:r w:rsidR="00B30675">
              <w:rPr>
                <w:b/>
                <w:bCs/>
              </w:rPr>
              <w:t xml:space="preserve"> as a replacement</w:t>
            </w:r>
            <w:r w:rsidR="00B30675" w:rsidRPr="00B30675">
              <w:rPr>
                <w:b/>
                <w:bCs/>
              </w:rPr>
              <w:t xml:space="preserve"> for this mass-produced engine block</w:t>
            </w:r>
          </w:p>
        </w:tc>
        <w:tc>
          <w:tcPr>
            <w:tcW w:w="4904" w:type="dxa"/>
          </w:tcPr>
          <w:p w14:paraId="58B1F60A" w14:textId="7C0C18F3" w:rsidR="00B30675" w:rsidRDefault="00B30675" w:rsidP="007E40E3"/>
        </w:tc>
      </w:tr>
    </w:tbl>
    <w:p w14:paraId="08E0627A" w14:textId="22D08498" w:rsidR="00357AD5" w:rsidRDefault="00357AD5"/>
    <w:p w14:paraId="347B7D75" w14:textId="77777777" w:rsidR="00357AD5" w:rsidRDefault="00357AD5"/>
    <w:tbl>
      <w:tblPr>
        <w:tblStyle w:val="TableGrid"/>
        <w:tblW w:w="8971" w:type="dxa"/>
        <w:tblInd w:w="45" w:type="dxa"/>
        <w:tblLook w:val="04A0" w:firstRow="1" w:lastRow="0" w:firstColumn="1" w:lastColumn="0" w:noHBand="0" w:noVBand="1"/>
      </w:tblPr>
      <w:tblGrid>
        <w:gridCol w:w="3919"/>
        <w:gridCol w:w="5052"/>
      </w:tblGrid>
      <w:tr w:rsidR="00357AD5" w:rsidRPr="00357AD5" w14:paraId="3B6D76B7" w14:textId="77777777" w:rsidTr="00357AD5">
        <w:tc>
          <w:tcPr>
            <w:tcW w:w="8971" w:type="dxa"/>
            <w:gridSpan w:val="2"/>
            <w:tcBorders>
              <w:top w:val="single" w:sz="4" w:space="0" w:color="auto"/>
            </w:tcBorders>
            <w:shd w:val="clear" w:color="auto" w:fill="1F3864" w:themeFill="accent1" w:themeFillShade="80"/>
          </w:tcPr>
          <w:p w14:paraId="26EF0A5E" w14:textId="09A0DEBC" w:rsidR="00B30675" w:rsidRPr="00357AD5" w:rsidRDefault="00B30675" w:rsidP="00A7145F">
            <w:pPr>
              <w:jc w:val="center"/>
              <w:rPr>
                <w:b/>
                <w:bCs/>
                <w:color w:val="FFFFFF" w:themeColor="background1"/>
                <w:sz w:val="36"/>
                <w:szCs w:val="36"/>
              </w:rPr>
            </w:pPr>
            <w:r w:rsidRPr="00357AD5">
              <w:rPr>
                <w:color w:val="FFFFFF" w:themeColor="background1"/>
                <w:sz w:val="36"/>
                <w:szCs w:val="36"/>
              </w:rPr>
              <w:t>Improved Production Australia to fill in</w:t>
            </w:r>
          </w:p>
        </w:tc>
      </w:tr>
      <w:tr w:rsidR="00B30675" w:rsidRPr="00B30675" w14:paraId="74486550" w14:textId="77777777" w:rsidTr="00C73EEE">
        <w:tc>
          <w:tcPr>
            <w:tcW w:w="8971" w:type="dxa"/>
            <w:gridSpan w:val="2"/>
            <w:shd w:val="clear" w:color="auto" w:fill="BFBFBF" w:themeFill="background1" w:themeFillShade="BF"/>
          </w:tcPr>
          <w:p w14:paraId="717017A7" w14:textId="76978F53" w:rsidR="00B30675" w:rsidRPr="00B30675" w:rsidRDefault="00B30675" w:rsidP="00A7145F">
            <w:pPr>
              <w:jc w:val="center"/>
              <w:rPr>
                <w:b/>
                <w:bCs/>
              </w:rPr>
            </w:pPr>
            <w:r w:rsidRPr="00B30675">
              <w:rPr>
                <w:b/>
                <w:bCs/>
              </w:rPr>
              <w:t xml:space="preserve">Details of </w:t>
            </w:r>
            <w:r w:rsidR="004D08D7">
              <w:rPr>
                <w:b/>
                <w:bCs/>
              </w:rPr>
              <w:t>IPRA representative</w:t>
            </w:r>
          </w:p>
        </w:tc>
      </w:tr>
      <w:tr w:rsidR="00B30675" w14:paraId="4CDA100B" w14:textId="77777777" w:rsidTr="00C73EEE">
        <w:tc>
          <w:tcPr>
            <w:tcW w:w="3919" w:type="dxa"/>
          </w:tcPr>
          <w:p w14:paraId="1863B3D0" w14:textId="6FCF5456" w:rsidR="00B30675" w:rsidRPr="00B30675" w:rsidRDefault="004D08D7" w:rsidP="00A7145F">
            <w:pPr>
              <w:rPr>
                <w:b/>
                <w:bCs/>
              </w:rPr>
            </w:pPr>
            <w:r>
              <w:rPr>
                <w:b/>
                <w:bCs/>
              </w:rPr>
              <w:t>Name of Improved Production representative</w:t>
            </w:r>
            <w:r w:rsidR="00B30675" w:rsidRPr="00B30675">
              <w:rPr>
                <w:b/>
                <w:bCs/>
              </w:rPr>
              <w:t xml:space="preserve"> </w:t>
            </w:r>
          </w:p>
        </w:tc>
        <w:tc>
          <w:tcPr>
            <w:tcW w:w="5052" w:type="dxa"/>
          </w:tcPr>
          <w:p w14:paraId="43F5EEE1" w14:textId="5DA9C88B" w:rsidR="00B30675" w:rsidRDefault="00B30675" w:rsidP="00A7145F"/>
        </w:tc>
      </w:tr>
      <w:tr w:rsidR="004D08D7" w14:paraId="3EEC5AD3" w14:textId="77777777" w:rsidTr="00C73EEE">
        <w:tc>
          <w:tcPr>
            <w:tcW w:w="3919" w:type="dxa"/>
          </w:tcPr>
          <w:p w14:paraId="114AC282" w14:textId="6402F58B" w:rsidR="004D08D7" w:rsidRDefault="004D08D7" w:rsidP="00A7145F">
            <w:pPr>
              <w:rPr>
                <w:b/>
                <w:bCs/>
              </w:rPr>
            </w:pPr>
            <w:r>
              <w:rPr>
                <w:b/>
                <w:bCs/>
              </w:rPr>
              <w:t>Position of representative within Improved Production Australia</w:t>
            </w:r>
          </w:p>
        </w:tc>
        <w:tc>
          <w:tcPr>
            <w:tcW w:w="5052" w:type="dxa"/>
          </w:tcPr>
          <w:p w14:paraId="7C14A434" w14:textId="557F5A15" w:rsidR="004D08D7" w:rsidRDefault="004D08D7" w:rsidP="00BF4B5D"/>
        </w:tc>
      </w:tr>
      <w:tr w:rsidR="004D08D7" w:rsidRPr="00B30675" w14:paraId="15B4B87E" w14:textId="77777777" w:rsidTr="00C73EEE">
        <w:tc>
          <w:tcPr>
            <w:tcW w:w="8971" w:type="dxa"/>
            <w:gridSpan w:val="2"/>
            <w:shd w:val="clear" w:color="auto" w:fill="BFBFBF" w:themeFill="background1" w:themeFillShade="BF"/>
          </w:tcPr>
          <w:p w14:paraId="414BD845" w14:textId="0F79AA98" w:rsidR="004D08D7" w:rsidRPr="00B30675" w:rsidRDefault="004D08D7" w:rsidP="00A7145F">
            <w:pPr>
              <w:jc w:val="center"/>
              <w:rPr>
                <w:b/>
                <w:bCs/>
              </w:rPr>
            </w:pPr>
            <w:r>
              <w:rPr>
                <w:b/>
                <w:bCs/>
              </w:rPr>
              <w:t>Opinion of Improved Production Australia</w:t>
            </w:r>
          </w:p>
        </w:tc>
      </w:tr>
      <w:tr w:rsidR="004D08D7" w14:paraId="2BE2F24F" w14:textId="77777777" w:rsidTr="00357AD5">
        <w:trPr>
          <w:trHeight w:val="2087"/>
        </w:trPr>
        <w:tc>
          <w:tcPr>
            <w:tcW w:w="3919" w:type="dxa"/>
          </w:tcPr>
          <w:p w14:paraId="5116830D" w14:textId="34E4EC06" w:rsidR="004D08D7" w:rsidRPr="00B30675" w:rsidRDefault="004D08D7" w:rsidP="00A7145F">
            <w:pPr>
              <w:rPr>
                <w:b/>
                <w:bCs/>
              </w:rPr>
            </w:pPr>
            <w:r>
              <w:rPr>
                <w:b/>
                <w:bCs/>
              </w:rPr>
              <w:t xml:space="preserve">Should this block be approved as a replacement for the </w:t>
            </w:r>
            <w:proofErr w:type="gramStart"/>
            <w:r w:rsidR="004015AC">
              <w:rPr>
                <w:b/>
                <w:bCs/>
              </w:rPr>
              <w:t>mass produced</w:t>
            </w:r>
            <w:proofErr w:type="gramEnd"/>
            <w:r w:rsidR="004015AC">
              <w:rPr>
                <w:b/>
                <w:bCs/>
              </w:rPr>
              <w:t xml:space="preserve"> </w:t>
            </w:r>
            <w:r>
              <w:rPr>
                <w:b/>
                <w:bCs/>
              </w:rPr>
              <w:t>engine listed above?</w:t>
            </w:r>
            <w:r w:rsidRPr="00B30675">
              <w:rPr>
                <w:b/>
                <w:bCs/>
              </w:rPr>
              <w:t xml:space="preserve"> </w:t>
            </w:r>
          </w:p>
        </w:tc>
        <w:tc>
          <w:tcPr>
            <w:tcW w:w="5052" w:type="dxa"/>
          </w:tcPr>
          <w:p w14:paraId="67AE7C49" w14:textId="11AFAC73" w:rsidR="004D08D7" w:rsidRDefault="004D08D7" w:rsidP="00A7145F"/>
        </w:tc>
      </w:tr>
      <w:tr w:rsidR="004D08D7" w14:paraId="35182708" w14:textId="77777777" w:rsidTr="00357AD5">
        <w:trPr>
          <w:trHeight w:val="4527"/>
        </w:trPr>
        <w:tc>
          <w:tcPr>
            <w:tcW w:w="3919" w:type="dxa"/>
          </w:tcPr>
          <w:p w14:paraId="3C7688DB" w14:textId="6092C55D" w:rsidR="004D08D7" w:rsidRDefault="004D08D7" w:rsidP="00A7145F">
            <w:pPr>
              <w:rPr>
                <w:b/>
                <w:bCs/>
              </w:rPr>
            </w:pPr>
            <w:r>
              <w:rPr>
                <w:b/>
                <w:bCs/>
              </w:rPr>
              <w:t>Justification for Improved Production Australia's opinion on whether this engine block should be approved as a replacement engine block or not.</w:t>
            </w:r>
          </w:p>
        </w:tc>
        <w:tc>
          <w:tcPr>
            <w:tcW w:w="5052" w:type="dxa"/>
          </w:tcPr>
          <w:p w14:paraId="2A6D1054" w14:textId="1B7782EF" w:rsidR="004D08D7" w:rsidRDefault="004D08D7" w:rsidP="00A7145F"/>
        </w:tc>
      </w:tr>
    </w:tbl>
    <w:p w14:paraId="083CFE28" w14:textId="6D12A4A0" w:rsidR="00B30675" w:rsidRDefault="00B30675" w:rsidP="00B30675">
      <w:pPr>
        <w:ind w:left="45"/>
      </w:pPr>
    </w:p>
    <w:p w14:paraId="7F4271B3" w14:textId="3310EFAA" w:rsidR="004D08D7" w:rsidRDefault="004D08D7" w:rsidP="00B30675">
      <w:pPr>
        <w:ind w:left="45"/>
      </w:pPr>
    </w:p>
    <w:p w14:paraId="7A30755B" w14:textId="0088BADD" w:rsidR="00F5134A" w:rsidRDefault="00F5134A">
      <w:r>
        <w:br w:type="page"/>
      </w:r>
    </w:p>
    <w:p w14:paraId="18755D18" w14:textId="77777777" w:rsidR="00357AD5" w:rsidRDefault="00357AD5"/>
    <w:tbl>
      <w:tblPr>
        <w:tblStyle w:val="TableGrid"/>
        <w:tblW w:w="0" w:type="auto"/>
        <w:tblInd w:w="45" w:type="dxa"/>
        <w:tblLook w:val="04A0" w:firstRow="1" w:lastRow="0" w:firstColumn="1" w:lastColumn="0" w:noHBand="0" w:noVBand="1"/>
      </w:tblPr>
      <w:tblGrid>
        <w:gridCol w:w="3919"/>
        <w:gridCol w:w="5052"/>
      </w:tblGrid>
      <w:tr w:rsidR="00357AD5" w:rsidRPr="00357AD5" w14:paraId="2EFFA86A" w14:textId="77777777" w:rsidTr="00357AD5">
        <w:tc>
          <w:tcPr>
            <w:tcW w:w="8971" w:type="dxa"/>
            <w:gridSpan w:val="2"/>
            <w:shd w:val="clear" w:color="auto" w:fill="1F3864" w:themeFill="accent1" w:themeFillShade="80"/>
          </w:tcPr>
          <w:p w14:paraId="13513F8C" w14:textId="52E6C56B" w:rsidR="004D08D7" w:rsidRPr="00357AD5" w:rsidRDefault="004D08D7" w:rsidP="00A7145F">
            <w:pPr>
              <w:jc w:val="center"/>
              <w:rPr>
                <w:b/>
                <w:bCs/>
                <w:color w:val="FFFFFF" w:themeColor="background1"/>
                <w:sz w:val="36"/>
                <w:szCs w:val="36"/>
              </w:rPr>
            </w:pPr>
            <w:r w:rsidRPr="00357AD5">
              <w:rPr>
                <w:color w:val="FFFFFF" w:themeColor="background1"/>
                <w:sz w:val="36"/>
                <w:szCs w:val="36"/>
              </w:rPr>
              <w:t>Australian Motor Racing Commission to fill in</w:t>
            </w:r>
          </w:p>
        </w:tc>
      </w:tr>
      <w:tr w:rsidR="004D08D7" w14:paraId="482D28CE" w14:textId="77777777" w:rsidTr="00357AD5">
        <w:trPr>
          <w:trHeight w:val="1611"/>
        </w:trPr>
        <w:tc>
          <w:tcPr>
            <w:tcW w:w="3919" w:type="dxa"/>
          </w:tcPr>
          <w:p w14:paraId="3468C0BC" w14:textId="4718E719" w:rsidR="004D08D7" w:rsidRPr="00B30675" w:rsidRDefault="004D08D7" w:rsidP="00A7145F">
            <w:pPr>
              <w:rPr>
                <w:b/>
                <w:bCs/>
              </w:rPr>
            </w:pPr>
            <w:r>
              <w:rPr>
                <w:b/>
                <w:bCs/>
              </w:rPr>
              <w:t>Has this replacement engine been approved or denied?</w:t>
            </w:r>
            <w:r w:rsidRPr="00B30675">
              <w:rPr>
                <w:b/>
                <w:bCs/>
              </w:rPr>
              <w:t xml:space="preserve"> </w:t>
            </w:r>
          </w:p>
        </w:tc>
        <w:tc>
          <w:tcPr>
            <w:tcW w:w="5052" w:type="dxa"/>
          </w:tcPr>
          <w:p w14:paraId="31B6AD90" w14:textId="77777777" w:rsidR="004D08D7" w:rsidRDefault="004D08D7" w:rsidP="00A7145F"/>
        </w:tc>
      </w:tr>
      <w:tr w:rsidR="004D08D7" w14:paraId="0E758B5E" w14:textId="77777777" w:rsidTr="004015AC">
        <w:trPr>
          <w:trHeight w:val="4322"/>
        </w:trPr>
        <w:tc>
          <w:tcPr>
            <w:tcW w:w="3919" w:type="dxa"/>
          </w:tcPr>
          <w:p w14:paraId="2EABBE2E" w14:textId="7E100487" w:rsidR="004D08D7" w:rsidRDefault="004D08D7" w:rsidP="00A7145F">
            <w:pPr>
              <w:rPr>
                <w:b/>
                <w:bCs/>
              </w:rPr>
            </w:pPr>
            <w:r>
              <w:rPr>
                <w:b/>
                <w:bCs/>
              </w:rPr>
              <w:t>Reasoning for the decision of the AMRC</w:t>
            </w:r>
          </w:p>
        </w:tc>
        <w:tc>
          <w:tcPr>
            <w:tcW w:w="5052" w:type="dxa"/>
          </w:tcPr>
          <w:p w14:paraId="0DABAF6C" w14:textId="77777777" w:rsidR="004D08D7" w:rsidRDefault="004D08D7" w:rsidP="00A7145F"/>
        </w:tc>
      </w:tr>
    </w:tbl>
    <w:p w14:paraId="2BC72E8A" w14:textId="478AA402" w:rsidR="004D08D7" w:rsidRDefault="004D08D7" w:rsidP="00B30675">
      <w:pPr>
        <w:ind w:left="45"/>
      </w:pPr>
    </w:p>
    <w:p w14:paraId="2CC2A909" w14:textId="77777777" w:rsidR="004D08D7" w:rsidRPr="004B70FD" w:rsidRDefault="004D08D7" w:rsidP="00B30675">
      <w:pPr>
        <w:ind w:left="45"/>
      </w:pPr>
    </w:p>
    <w:sectPr w:rsidR="004D08D7" w:rsidRPr="004B70FD" w:rsidSect="000225AE">
      <w:headerReference w:type="default" r:id="rId7"/>
      <w:footerReference w:type="default" r:id="rId8"/>
      <w:pgSz w:w="11906" w:h="16838"/>
      <w:pgMar w:top="156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736D" w14:textId="77777777" w:rsidR="002053D8" w:rsidRDefault="002053D8" w:rsidP="000225AE">
      <w:pPr>
        <w:spacing w:after="0" w:line="240" w:lineRule="auto"/>
      </w:pPr>
      <w:r>
        <w:separator/>
      </w:r>
    </w:p>
  </w:endnote>
  <w:endnote w:type="continuationSeparator" w:id="0">
    <w:p w14:paraId="66BB4831" w14:textId="77777777" w:rsidR="002053D8" w:rsidRDefault="002053D8" w:rsidP="0002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364365"/>
      <w:docPartObj>
        <w:docPartGallery w:val="Page Numbers (Bottom of Page)"/>
        <w:docPartUnique/>
      </w:docPartObj>
    </w:sdtPr>
    <w:sdtEndPr>
      <w:rPr>
        <w:color w:val="7F7F7F" w:themeColor="background1" w:themeShade="7F"/>
        <w:spacing w:val="60"/>
      </w:rPr>
    </w:sdtEndPr>
    <w:sdtContent>
      <w:p w14:paraId="161CD95B" w14:textId="77777777" w:rsidR="00357AD5" w:rsidRDefault="00357AD5" w:rsidP="00357AD5">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682884DF" w14:textId="77777777" w:rsidR="00357AD5" w:rsidRDefault="0035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5E3C2" w14:textId="77777777" w:rsidR="002053D8" w:rsidRDefault="002053D8" w:rsidP="000225AE">
      <w:pPr>
        <w:spacing w:after="0" w:line="240" w:lineRule="auto"/>
      </w:pPr>
      <w:r>
        <w:separator/>
      </w:r>
    </w:p>
  </w:footnote>
  <w:footnote w:type="continuationSeparator" w:id="0">
    <w:p w14:paraId="060FADF8" w14:textId="77777777" w:rsidR="002053D8" w:rsidRDefault="002053D8" w:rsidP="0002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8CD3" w14:textId="77777777" w:rsidR="000225AE" w:rsidRDefault="000225AE" w:rsidP="000225AE">
    <w:pPr>
      <w:pStyle w:val="Heading1"/>
      <w:spacing w:before="0" w:line="240" w:lineRule="auto"/>
      <w:jc w:val="cente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10FF">
      <w:rPr>
        <w:noProof/>
        <w:color w:val="FFFFFF" w:themeColor="background1"/>
        <w:sz w:val="40"/>
        <w:szCs w:val="40"/>
      </w:rPr>
      <w:drawing>
        <wp:anchor distT="0" distB="0" distL="114300" distR="114300" simplePos="0" relativeHeight="251661312" behindDoc="1" locked="0" layoutInCell="1" allowOverlap="1" wp14:anchorId="139BADDD" wp14:editId="72690D9F">
          <wp:simplePos x="0" y="0"/>
          <wp:positionH relativeFrom="page">
            <wp:align>left</wp:align>
          </wp:positionH>
          <wp:positionV relativeFrom="paragraph">
            <wp:posOffset>52385</wp:posOffset>
          </wp:positionV>
          <wp:extent cx="1718268" cy="84025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268" cy="840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0FF">
      <w:rPr>
        <w:noProof/>
        <w:color w:val="FFFFFF" w:themeColor="background1"/>
        <w:sz w:val="40"/>
        <w:szCs w:val="40"/>
      </w:rPr>
      <w:drawing>
        <wp:anchor distT="0" distB="0" distL="114300" distR="114300" simplePos="0" relativeHeight="251659264" behindDoc="1" locked="0" layoutInCell="1" allowOverlap="1" wp14:anchorId="4B2CBC0D" wp14:editId="0525A33C">
          <wp:simplePos x="0" y="0"/>
          <wp:positionH relativeFrom="column">
            <wp:posOffset>-1191793</wp:posOffset>
          </wp:positionH>
          <wp:positionV relativeFrom="paragraph">
            <wp:posOffset>-91135</wp:posOffset>
          </wp:positionV>
          <wp:extent cx="11949430" cy="981710"/>
          <wp:effectExtent l="0" t="0" r="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9430" cy="98171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3J Replacement engine block </w:t>
    </w:r>
  </w:p>
  <w:p w14:paraId="22453FB5" w14:textId="6814E95D" w:rsidR="000225AE" w:rsidRPr="006410FF" w:rsidRDefault="000225AE" w:rsidP="000225AE">
    <w:pPr>
      <w:pStyle w:val="Heading1"/>
      <w:spacing w:before="0" w:line="240" w:lineRule="auto"/>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w:t>
    </w:r>
  </w:p>
  <w:p w14:paraId="3DDE10B5" w14:textId="13B1C7F0" w:rsidR="000225AE" w:rsidRDefault="00022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D5F41"/>
    <w:multiLevelType w:val="multilevel"/>
    <w:tmpl w:val="7966C184"/>
    <w:styleLink w:val="MELegal"/>
    <w:lvl w:ilvl="0">
      <w:start w:val="1"/>
      <w:numFmt w:val="decimal"/>
      <w:pStyle w:val="Regulation1"/>
      <w:lvlText w:val="%1."/>
      <w:lvlJc w:val="left"/>
      <w:pPr>
        <w:ind w:left="680" w:hanging="680"/>
      </w:pPr>
      <w:rPr>
        <w:rFonts w:hint="default"/>
      </w:rPr>
    </w:lvl>
    <w:lvl w:ilvl="1">
      <w:start w:val="1"/>
      <w:numFmt w:val="decimal"/>
      <w:pStyle w:val="Regulation2"/>
      <w:lvlText w:val="%1.%2"/>
      <w:lvlJc w:val="left"/>
      <w:pPr>
        <w:ind w:left="680" w:hanging="680"/>
      </w:pPr>
      <w:rPr>
        <w:rFonts w:hint="default"/>
      </w:rPr>
    </w:lvl>
    <w:lvl w:ilvl="2">
      <w:start w:val="1"/>
      <w:numFmt w:val="lowerLetter"/>
      <w:pStyle w:val="Regulation3"/>
      <w:lvlText w:val="(%3)"/>
      <w:lvlJc w:val="left"/>
      <w:pPr>
        <w:ind w:left="1361" w:hanging="681"/>
      </w:pPr>
      <w:rPr>
        <w:rFonts w:hint="default"/>
      </w:rPr>
    </w:lvl>
    <w:lvl w:ilvl="3">
      <w:start w:val="1"/>
      <w:numFmt w:val="lowerRoman"/>
      <w:pStyle w:val="Regulation4"/>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pStyle w:val="Regulation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42FE5D37"/>
    <w:multiLevelType w:val="hybridMultilevel"/>
    <w:tmpl w:val="136C732A"/>
    <w:lvl w:ilvl="0" w:tplc="900E144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69745CC6"/>
    <w:multiLevelType w:val="hybridMultilevel"/>
    <w:tmpl w:val="33CC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8C3963"/>
    <w:multiLevelType w:val="hybridMultilevel"/>
    <w:tmpl w:val="76C6E684"/>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num w:numId="1">
    <w:abstractNumId w:val="0"/>
    <w:lvlOverride w:ilvl="0">
      <w:lvl w:ilvl="0">
        <w:start w:val="1"/>
        <w:numFmt w:val="decimal"/>
        <w:pStyle w:val="Regulation1"/>
        <w:lvlText w:val="%1."/>
        <w:lvlJc w:val="left"/>
        <w:pPr>
          <w:ind w:left="680" w:hanging="680"/>
        </w:pPr>
        <w:rPr>
          <w:rFonts w:hint="default"/>
        </w:rPr>
      </w:lvl>
    </w:lvlOverride>
    <w:lvlOverride w:ilvl="1">
      <w:lvl w:ilvl="1">
        <w:start w:val="1"/>
        <w:numFmt w:val="decimal"/>
        <w:pStyle w:val="Regulation2"/>
        <w:lvlText w:val="%1.%2"/>
        <w:lvlJc w:val="left"/>
        <w:pPr>
          <w:ind w:left="680" w:hanging="680"/>
        </w:pPr>
        <w:rPr>
          <w:rFonts w:hint="default"/>
        </w:rPr>
      </w:lvl>
    </w:lvlOverride>
    <w:lvlOverride w:ilvl="2">
      <w:lvl w:ilvl="2">
        <w:start w:val="1"/>
        <w:numFmt w:val="lowerLetter"/>
        <w:pStyle w:val="Regulation3"/>
        <w:lvlText w:val="(%3)"/>
        <w:lvlJc w:val="left"/>
        <w:pPr>
          <w:ind w:left="1361" w:hanging="681"/>
        </w:pPr>
        <w:rPr>
          <w:rFonts w:hint="default"/>
        </w:rPr>
      </w:lvl>
    </w:lvlOverride>
    <w:lvlOverride w:ilvl="3">
      <w:lvl w:ilvl="3">
        <w:start w:val="1"/>
        <w:numFmt w:val="lowerRoman"/>
        <w:pStyle w:val="Regulation4"/>
        <w:lvlText w:val="(%4)"/>
        <w:lvlJc w:val="left"/>
        <w:pPr>
          <w:ind w:left="2041" w:hanging="680"/>
        </w:pPr>
        <w:rPr>
          <w:rFonts w:hint="default"/>
          <w:strike w:val="0"/>
          <w:color w:val="auto"/>
        </w:rPr>
      </w:lvl>
    </w:lvlOverride>
    <w:lvlOverride w:ilvl="4">
      <w:lvl w:ilvl="4">
        <w:start w:val="1"/>
        <w:numFmt w:val="upperLetter"/>
        <w:lvlText w:val="(%5)"/>
        <w:lvlJc w:val="left"/>
        <w:pPr>
          <w:tabs>
            <w:tab w:val="num" w:pos="2041"/>
          </w:tabs>
          <w:ind w:left="2722" w:hanging="68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Regulation6"/>
        <w:lvlText w:val="(%6)"/>
        <w:lvlJc w:val="left"/>
        <w:pPr>
          <w:tabs>
            <w:tab w:val="num" w:pos="2722"/>
          </w:tabs>
          <w:ind w:left="3402" w:hanging="68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FD"/>
    <w:rsid w:val="00014BCF"/>
    <w:rsid w:val="000225AE"/>
    <w:rsid w:val="000A75F1"/>
    <w:rsid w:val="0018476D"/>
    <w:rsid w:val="002053D8"/>
    <w:rsid w:val="00215B69"/>
    <w:rsid w:val="00357AD5"/>
    <w:rsid w:val="004015AC"/>
    <w:rsid w:val="004B70FD"/>
    <w:rsid w:val="004D08D7"/>
    <w:rsid w:val="005156D9"/>
    <w:rsid w:val="005F6481"/>
    <w:rsid w:val="006A2CC7"/>
    <w:rsid w:val="006E6BEB"/>
    <w:rsid w:val="00742C76"/>
    <w:rsid w:val="007E40E3"/>
    <w:rsid w:val="00994A77"/>
    <w:rsid w:val="00A5735B"/>
    <w:rsid w:val="00B30675"/>
    <w:rsid w:val="00BF4B5D"/>
    <w:rsid w:val="00C73EEE"/>
    <w:rsid w:val="00F068C4"/>
    <w:rsid w:val="00F5134A"/>
    <w:rsid w:val="00F573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4355"/>
  <w15:chartTrackingRefBased/>
  <w15:docId w15:val="{7F497398-7284-4051-A41A-E0483CBC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D7"/>
  </w:style>
  <w:style w:type="paragraph" w:styleId="Heading1">
    <w:name w:val="heading 1"/>
    <w:basedOn w:val="Normal"/>
    <w:next w:val="Normal"/>
    <w:link w:val="Heading1Char"/>
    <w:uiPriority w:val="9"/>
    <w:qFormat/>
    <w:rsid w:val="00022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Legal">
    <w:name w:val="ME Legal"/>
    <w:uiPriority w:val="99"/>
    <w:rsid w:val="004B70FD"/>
    <w:pPr>
      <w:numPr>
        <w:numId w:val="4"/>
      </w:numPr>
    </w:pPr>
  </w:style>
  <w:style w:type="paragraph" w:customStyle="1" w:styleId="Regulation1">
    <w:name w:val="Regulation 1"/>
    <w:basedOn w:val="Normal"/>
    <w:qFormat/>
    <w:rsid w:val="004B70FD"/>
    <w:pPr>
      <w:keepNext/>
      <w:numPr>
        <w:numId w:val="1"/>
      </w:numPr>
      <w:spacing w:before="280" w:after="140" w:line="280" w:lineRule="atLeast"/>
      <w:outlineLvl w:val="0"/>
    </w:pPr>
    <w:rPr>
      <w:rFonts w:ascii="Arial" w:eastAsia="Times New Roman" w:hAnsi="Arial" w:cs="Angsana New"/>
      <w:b/>
      <w:caps/>
      <w:color w:val="FF4D0F"/>
      <w:spacing w:val="-10"/>
      <w:w w:val="95"/>
      <w:sz w:val="20"/>
      <w:lang w:eastAsia="zh-CN" w:bidi="th-TH"/>
    </w:rPr>
  </w:style>
  <w:style w:type="paragraph" w:customStyle="1" w:styleId="Regulation2">
    <w:name w:val="Regulation 2"/>
    <w:basedOn w:val="Normal"/>
    <w:qFormat/>
    <w:rsid w:val="004B70FD"/>
    <w:pPr>
      <w:keepNext/>
      <w:numPr>
        <w:ilvl w:val="1"/>
        <w:numId w:val="1"/>
      </w:numPr>
      <w:spacing w:before="60" w:after="60" w:line="280" w:lineRule="atLeast"/>
      <w:outlineLvl w:val="1"/>
    </w:pPr>
    <w:rPr>
      <w:rFonts w:ascii="Arial Bold" w:eastAsia="Times New Roman" w:hAnsi="Arial Bold" w:cs="Angsana New"/>
      <w:b/>
      <w:w w:val="95"/>
      <w:sz w:val="18"/>
      <w:lang w:eastAsia="zh-CN" w:bidi="th-TH"/>
    </w:rPr>
  </w:style>
  <w:style w:type="paragraph" w:customStyle="1" w:styleId="Regulation3">
    <w:name w:val="Regulation 3"/>
    <w:basedOn w:val="Normal"/>
    <w:qFormat/>
    <w:rsid w:val="004B70FD"/>
    <w:pPr>
      <w:numPr>
        <w:ilvl w:val="2"/>
        <w:numId w:val="1"/>
      </w:numPr>
      <w:spacing w:after="140" w:line="240" w:lineRule="auto"/>
      <w:ind w:left="1360" w:hanging="680"/>
      <w:outlineLvl w:val="2"/>
    </w:pPr>
    <w:rPr>
      <w:rFonts w:ascii="Arial" w:eastAsia="Times New Roman" w:hAnsi="Arial" w:cs="Angsana New"/>
      <w:sz w:val="18"/>
      <w:lang w:eastAsia="zh-CN" w:bidi="th-TH"/>
    </w:rPr>
  </w:style>
  <w:style w:type="paragraph" w:customStyle="1" w:styleId="Regulation4">
    <w:name w:val="Regulation 4"/>
    <w:basedOn w:val="Normal"/>
    <w:qFormat/>
    <w:rsid w:val="004B70FD"/>
    <w:pPr>
      <w:numPr>
        <w:ilvl w:val="3"/>
        <w:numId w:val="1"/>
      </w:numPr>
      <w:spacing w:after="140" w:line="240" w:lineRule="auto"/>
      <w:outlineLvl w:val="3"/>
    </w:pPr>
    <w:rPr>
      <w:rFonts w:ascii="Arial" w:eastAsia="Times New Roman" w:hAnsi="Arial" w:cs="Angsana New"/>
      <w:sz w:val="18"/>
      <w:lang w:eastAsia="zh-CN" w:bidi="th-TH"/>
    </w:rPr>
  </w:style>
  <w:style w:type="paragraph" w:customStyle="1" w:styleId="Regulation6">
    <w:name w:val="Regulation 6"/>
    <w:basedOn w:val="Normal"/>
    <w:qFormat/>
    <w:rsid w:val="004B70FD"/>
    <w:pPr>
      <w:numPr>
        <w:ilvl w:val="5"/>
        <w:numId w:val="1"/>
      </w:numPr>
      <w:spacing w:after="140" w:line="240" w:lineRule="auto"/>
      <w:outlineLvl w:val="5"/>
    </w:pPr>
    <w:rPr>
      <w:rFonts w:ascii="Arial" w:eastAsia="Times New Roman" w:hAnsi="Arial" w:cs="Angsana New"/>
      <w:sz w:val="18"/>
      <w:lang w:eastAsia="zh-CN" w:bidi="th-TH"/>
    </w:rPr>
  </w:style>
  <w:style w:type="paragraph" w:customStyle="1" w:styleId="TableParagraph">
    <w:name w:val="Table Paragraph"/>
    <w:basedOn w:val="Normal"/>
    <w:uiPriority w:val="1"/>
    <w:qFormat/>
    <w:rsid w:val="004B70FD"/>
    <w:pPr>
      <w:widowControl w:val="0"/>
      <w:spacing w:after="0" w:line="240" w:lineRule="auto"/>
    </w:pPr>
    <w:rPr>
      <w:lang w:val="en-US"/>
    </w:rPr>
  </w:style>
  <w:style w:type="paragraph" w:styleId="ListParagraph">
    <w:name w:val="List Paragraph"/>
    <w:basedOn w:val="Normal"/>
    <w:uiPriority w:val="34"/>
    <w:qFormat/>
    <w:rsid w:val="004B70FD"/>
    <w:pPr>
      <w:ind w:left="720"/>
      <w:contextualSpacing/>
    </w:pPr>
  </w:style>
  <w:style w:type="table" w:styleId="TableGrid">
    <w:name w:val="Table Grid"/>
    <w:basedOn w:val="TableNormal"/>
    <w:uiPriority w:val="39"/>
    <w:rsid w:val="0021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2C76"/>
    <w:rPr>
      <w:b/>
      <w:bCs/>
    </w:rPr>
  </w:style>
  <w:style w:type="paragraph" w:styleId="BalloonText">
    <w:name w:val="Balloon Text"/>
    <w:basedOn w:val="Normal"/>
    <w:link w:val="BalloonTextChar"/>
    <w:uiPriority w:val="99"/>
    <w:semiHidden/>
    <w:unhideWhenUsed/>
    <w:rsid w:val="0002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AE"/>
    <w:rPr>
      <w:rFonts w:ascii="Segoe UI" w:hAnsi="Segoe UI" w:cs="Segoe UI"/>
      <w:sz w:val="18"/>
      <w:szCs w:val="18"/>
    </w:rPr>
  </w:style>
  <w:style w:type="paragraph" w:styleId="Header">
    <w:name w:val="header"/>
    <w:basedOn w:val="Normal"/>
    <w:link w:val="HeaderChar"/>
    <w:uiPriority w:val="99"/>
    <w:unhideWhenUsed/>
    <w:rsid w:val="00022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5AE"/>
  </w:style>
  <w:style w:type="paragraph" w:styleId="Footer">
    <w:name w:val="footer"/>
    <w:basedOn w:val="Normal"/>
    <w:link w:val="FooterChar"/>
    <w:uiPriority w:val="99"/>
    <w:unhideWhenUsed/>
    <w:rsid w:val="00022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5AE"/>
  </w:style>
  <w:style w:type="character" w:customStyle="1" w:styleId="Heading1Char">
    <w:name w:val="Heading 1 Char"/>
    <w:basedOn w:val="DefaultParagraphFont"/>
    <w:link w:val="Heading1"/>
    <w:uiPriority w:val="9"/>
    <w:rsid w:val="000225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8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Augustine</dc:creator>
  <cp:keywords/>
  <dc:description/>
  <cp:lastModifiedBy>Jamie Augustine</cp:lastModifiedBy>
  <cp:revision>3</cp:revision>
  <dcterms:created xsi:type="dcterms:W3CDTF">2021-01-11T02:59:00Z</dcterms:created>
  <dcterms:modified xsi:type="dcterms:W3CDTF">2021-01-11T03:12:00Z</dcterms:modified>
</cp:coreProperties>
</file>